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E5DDB" w14:textId="7839E2AF" w:rsidR="008B0879" w:rsidRDefault="00410A0F" w:rsidP="00162E1D">
      <w:pPr>
        <w:tabs>
          <w:tab w:val="left" w:pos="1276"/>
        </w:tabs>
        <w:spacing w:before="60"/>
        <w:jc w:val="both"/>
        <w:rPr>
          <w:b/>
          <w:color w:val="0070C0"/>
          <w:sz w:val="32"/>
          <w:szCs w:val="32"/>
        </w:rPr>
      </w:pPr>
      <w:r w:rsidRPr="00410A0F">
        <w:rPr>
          <w:b/>
          <w:color w:val="0070C0"/>
          <w:sz w:val="32"/>
          <w:szCs w:val="32"/>
        </w:rPr>
        <w:t xml:space="preserve">A Study </w:t>
      </w:r>
      <w:r w:rsidR="001A721B">
        <w:rPr>
          <w:b/>
          <w:color w:val="0070C0"/>
          <w:sz w:val="32"/>
          <w:szCs w:val="32"/>
        </w:rPr>
        <w:t>on</w:t>
      </w:r>
      <w:r w:rsidR="001A721B" w:rsidRPr="00410A0F">
        <w:rPr>
          <w:b/>
          <w:color w:val="0070C0"/>
          <w:sz w:val="32"/>
          <w:szCs w:val="32"/>
        </w:rPr>
        <w:t xml:space="preserve"> </w:t>
      </w:r>
      <w:r w:rsidRPr="00410A0F">
        <w:rPr>
          <w:b/>
          <w:color w:val="0070C0"/>
          <w:sz w:val="32"/>
          <w:szCs w:val="32"/>
        </w:rPr>
        <w:t xml:space="preserve">Employee Satisfaction </w:t>
      </w:r>
      <w:r w:rsidR="001A721B">
        <w:rPr>
          <w:b/>
          <w:color w:val="0070C0"/>
          <w:sz w:val="32"/>
          <w:szCs w:val="32"/>
        </w:rPr>
        <w:t>o</w:t>
      </w:r>
      <w:r w:rsidR="001A721B" w:rsidRPr="00410A0F">
        <w:rPr>
          <w:b/>
          <w:color w:val="0070C0"/>
          <w:sz w:val="32"/>
          <w:szCs w:val="32"/>
        </w:rPr>
        <w:t xml:space="preserve">n </w:t>
      </w:r>
      <w:r w:rsidRPr="00410A0F">
        <w:rPr>
          <w:b/>
          <w:color w:val="0070C0"/>
          <w:sz w:val="32"/>
          <w:szCs w:val="32"/>
        </w:rPr>
        <w:t xml:space="preserve">Welfare Facilities </w:t>
      </w:r>
      <w:r w:rsidR="001A721B">
        <w:rPr>
          <w:b/>
          <w:color w:val="0070C0"/>
          <w:sz w:val="32"/>
          <w:szCs w:val="32"/>
        </w:rPr>
        <w:t>with</w:t>
      </w:r>
      <w:r w:rsidR="001A721B" w:rsidRPr="00410A0F">
        <w:rPr>
          <w:b/>
          <w:color w:val="0070C0"/>
          <w:sz w:val="32"/>
          <w:szCs w:val="32"/>
        </w:rPr>
        <w:t xml:space="preserve"> </w:t>
      </w:r>
      <w:r w:rsidRPr="00410A0F">
        <w:rPr>
          <w:b/>
          <w:color w:val="0070C0"/>
          <w:sz w:val="32"/>
          <w:szCs w:val="32"/>
        </w:rPr>
        <w:t xml:space="preserve">Special Reference </w:t>
      </w:r>
      <w:r w:rsidR="001A721B">
        <w:rPr>
          <w:b/>
          <w:color w:val="0070C0"/>
          <w:sz w:val="32"/>
          <w:szCs w:val="32"/>
        </w:rPr>
        <w:t>T</w:t>
      </w:r>
      <w:r w:rsidR="001A721B" w:rsidRPr="00410A0F">
        <w:rPr>
          <w:b/>
          <w:color w:val="0070C0"/>
          <w:sz w:val="32"/>
          <w:szCs w:val="32"/>
        </w:rPr>
        <w:t xml:space="preserve">o </w:t>
      </w:r>
      <w:r w:rsidRPr="00410A0F">
        <w:rPr>
          <w:b/>
          <w:color w:val="0070C0"/>
          <w:sz w:val="32"/>
          <w:szCs w:val="32"/>
        </w:rPr>
        <w:t>K</w:t>
      </w:r>
      <w:r>
        <w:rPr>
          <w:b/>
          <w:color w:val="0070C0"/>
          <w:sz w:val="32"/>
          <w:szCs w:val="32"/>
        </w:rPr>
        <w:t>MML</w:t>
      </w:r>
      <w:r w:rsidR="001A721B" w:rsidRPr="00410A0F">
        <w:rPr>
          <w:b/>
          <w:color w:val="0070C0"/>
          <w:sz w:val="32"/>
          <w:szCs w:val="32"/>
        </w:rPr>
        <w:t xml:space="preserve">, </w:t>
      </w:r>
      <w:r w:rsidRPr="00410A0F">
        <w:rPr>
          <w:b/>
          <w:color w:val="0070C0"/>
          <w:sz w:val="32"/>
          <w:szCs w:val="32"/>
        </w:rPr>
        <w:t>Kollam District</w:t>
      </w:r>
    </w:p>
    <w:p w14:paraId="46B36E8E" w14:textId="5A9933BA" w:rsidR="008B0879" w:rsidRDefault="00410A0F" w:rsidP="00162E1D">
      <w:pPr>
        <w:tabs>
          <w:tab w:val="left" w:pos="1276"/>
        </w:tabs>
        <w:spacing w:line="276" w:lineRule="auto"/>
        <w:jc w:val="both"/>
        <w:rPr>
          <w:i/>
          <w:sz w:val="24"/>
          <w:szCs w:val="24"/>
        </w:rPr>
      </w:pPr>
      <w:proofErr w:type="spellStart"/>
      <w:r>
        <w:rPr>
          <w:i/>
          <w:sz w:val="24"/>
          <w:szCs w:val="24"/>
        </w:rPr>
        <w:t>Dr.</w:t>
      </w:r>
      <w:proofErr w:type="gramStart"/>
      <w:r>
        <w:rPr>
          <w:i/>
          <w:sz w:val="24"/>
          <w:szCs w:val="24"/>
        </w:rPr>
        <w:t>A.Bellaro</w:t>
      </w:r>
      <w:proofErr w:type="spellEnd"/>
      <w:proofErr w:type="gramEnd"/>
      <w:r>
        <w:rPr>
          <w:i/>
          <w:sz w:val="24"/>
          <w:szCs w:val="24"/>
        </w:rPr>
        <w:t xml:space="preserve"> John Regan</w:t>
      </w:r>
    </w:p>
    <w:p w14:paraId="6CA508D0" w14:textId="2B31DC45" w:rsidR="008B0879" w:rsidRDefault="00731893" w:rsidP="00162E1D">
      <w:pPr>
        <w:tabs>
          <w:tab w:val="left" w:pos="1276"/>
        </w:tabs>
        <w:spacing w:line="276" w:lineRule="auto"/>
        <w:jc w:val="both"/>
        <w:rPr>
          <w:i/>
          <w:sz w:val="24"/>
          <w:szCs w:val="24"/>
        </w:rPr>
      </w:pPr>
      <w:r>
        <w:rPr>
          <w:i/>
          <w:sz w:val="24"/>
          <w:szCs w:val="24"/>
        </w:rPr>
        <w:t>Assistant</w:t>
      </w:r>
      <w:bookmarkStart w:id="0" w:name="_GoBack"/>
      <w:bookmarkEnd w:id="0"/>
      <w:r w:rsidR="00410A0F">
        <w:rPr>
          <w:i/>
          <w:sz w:val="24"/>
          <w:szCs w:val="24"/>
        </w:rPr>
        <w:t xml:space="preserve"> Professor, Department of Social Work, Sree Narayana Guru College, Coimbatore – 641105, </w:t>
      </w:r>
      <w:proofErr w:type="spellStart"/>
      <w:r w:rsidR="00410A0F">
        <w:rPr>
          <w:i/>
          <w:sz w:val="24"/>
          <w:szCs w:val="24"/>
        </w:rPr>
        <w:t>Tamilnadu</w:t>
      </w:r>
      <w:proofErr w:type="spellEnd"/>
      <w:r w:rsidR="00410A0F">
        <w:rPr>
          <w:i/>
          <w:sz w:val="24"/>
          <w:szCs w:val="24"/>
        </w:rPr>
        <w:t>, India.</w:t>
      </w:r>
    </w:p>
    <w:p w14:paraId="2A83110D" w14:textId="5116ADBE" w:rsidR="001A721B" w:rsidRDefault="00F71114" w:rsidP="00162E1D">
      <w:pPr>
        <w:tabs>
          <w:tab w:val="left" w:pos="1276"/>
        </w:tabs>
        <w:spacing w:line="276" w:lineRule="auto"/>
        <w:jc w:val="both"/>
        <w:rPr>
          <w:i/>
          <w:sz w:val="24"/>
          <w:szCs w:val="24"/>
          <w:vertAlign w:val="superscript"/>
        </w:rPr>
      </w:pPr>
      <w:r w:rsidRPr="001A721B">
        <w:rPr>
          <w:b/>
          <w:i/>
          <w:color w:val="0070C0"/>
          <w:sz w:val="24"/>
          <w:szCs w:val="24"/>
        </w:rPr>
        <w:t>Emai</w:t>
      </w:r>
      <w:r w:rsidR="001A721B" w:rsidRPr="001A721B">
        <w:rPr>
          <w:b/>
          <w:i/>
          <w:color w:val="0070C0"/>
          <w:sz w:val="24"/>
          <w:szCs w:val="24"/>
        </w:rPr>
        <w:t>l ID:</w:t>
      </w:r>
      <w:r w:rsidR="001A721B" w:rsidRPr="001A721B">
        <w:rPr>
          <w:i/>
          <w:sz w:val="24"/>
          <w:szCs w:val="24"/>
        </w:rPr>
        <w:t xml:space="preserve"> </w:t>
      </w:r>
      <w:r w:rsidRPr="001A721B">
        <w:rPr>
          <w:i/>
          <w:sz w:val="24"/>
          <w:szCs w:val="24"/>
        </w:rPr>
        <w:t xml:space="preserve"> </w:t>
      </w:r>
      <w:hyperlink r:id="rId8" w:history="1">
        <w:r w:rsidR="001A721B" w:rsidRPr="001A721B">
          <w:rPr>
            <w:rStyle w:val="Hyperlink"/>
            <w:i/>
            <w:color w:val="auto"/>
            <w:sz w:val="24"/>
            <w:szCs w:val="24"/>
            <w:u w:val="none"/>
          </w:rPr>
          <w:t>bellarojohnregan@gmail.com</w:t>
        </w:r>
      </w:hyperlink>
    </w:p>
    <w:p w14:paraId="41761D49" w14:textId="77777777" w:rsidR="001A721B" w:rsidRPr="001A721B" w:rsidRDefault="001A721B" w:rsidP="001A721B">
      <w:pPr>
        <w:tabs>
          <w:tab w:val="left" w:pos="1276"/>
        </w:tabs>
        <w:spacing w:line="276" w:lineRule="auto"/>
        <w:rPr>
          <w:i/>
          <w:sz w:val="24"/>
          <w:szCs w:val="24"/>
          <w:vertAlign w:val="superscript"/>
        </w:rPr>
      </w:pPr>
    </w:p>
    <w:p w14:paraId="576CA10F" w14:textId="77777777" w:rsidR="008B0879" w:rsidRPr="001A721B" w:rsidRDefault="00F71114" w:rsidP="001A721B">
      <w:pPr>
        <w:tabs>
          <w:tab w:val="left" w:pos="1276"/>
        </w:tabs>
        <w:spacing w:line="276" w:lineRule="auto"/>
        <w:jc w:val="both"/>
        <w:rPr>
          <w:b/>
          <w:color w:val="0070C0"/>
          <w:sz w:val="24"/>
          <w:szCs w:val="24"/>
        </w:rPr>
      </w:pPr>
      <w:r w:rsidRPr="001A721B">
        <w:rPr>
          <w:b/>
          <w:color w:val="0070C0"/>
          <w:sz w:val="24"/>
          <w:szCs w:val="24"/>
        </w:rPr>
        <w:t>Abstract</w:t>
      </w:r>
    </w:p>
    <w:p w14:paraId="70608C7D" w14:textId="77777777" w:rsidR="00410A0F" w:rsidRPr="001A721B" w:rsidRDefault="00410A0F" w:rsidP="001A721B">
      <w:pPr>
        <w:spacing w:line="276" w:lineRule="auto"/>
        <w:jc w:val="both"/>
        <w:rPr>
          <w:b/>
          <w:bCs/>
          <w:i/>
          <w:sz w:val="24"/>
          <w:szCs w:val="24"/>
        </w:rPr>
      </w:pPr>
      <w:r w:rsidRPr="001A721B">
        <w:rPr>
          <w:i/>
          <w:sz w:val="24"/>
          <w:szCs w:val="24"/>
        </w:rPr>
        <w:t>This research study investigates employee satisfaction concerning welfare facilities at Kerala Minerals and Metals Limited (KMML) in Kollam, Kerala. The study aims to assess their satisfaction levels with various welfare amenities, and the effectiveness of these facilities. Employing a descriptive research design, data were collected from a sample of 60 employees through simple random sampling. The findings reveal that welfare facilities, including healthcare, housing, and recreational services, significantly contribute to employee satisfaction, morale, and productivity. The study highlights the need for continuous assessment and improvement of these facilities to meet employees' evolving needs and preferences. Ultimately, the research underscores that prioritizing employee welfare is a strategic investment that enhances organizational performance and fosters a positive work environment at KMML.</w:t>
      </w:r>
    </w:p>
    <w:p w14:paraId="48768200" w14:textId="77777777" w:rsidR="008B0879" w:rsidRDefault="00F71114" w:rsidP="001A721B">
      <w:pPr>
        <w:spacing w:line="360" w:lineRule="auto"/>
        <w:jc w:val="both"/>
        <w:rPr>
          <w:i/>
          <w:sz w:val="24"/>
          <w:szCs w:val="24"/>
        </w:rPr>
      </w:pPr>
      <w:r w:rsidRPr="001A721B">
        <w:rPr>
          <w:b/>
          <w:i/>
          <w:color w:val="0070C0"/>
          <w:sz w:val="24"/>
          <w:szCs w:val="24"/>
        </w:rPr>
        <w:t>Keywords:</w:t>
      </w:r>
      <w:r w:rsidR="00410A0F" w:rsidRPr="001A721B">
        <w:rPr>
          <w:i/>
          <w:sz w:val="24"/>
          <w:szCs w:val="24"/>
        </w:rPr>
        <w:t xml:space="preserve"> Employee Satisfaction; Employee Welfare; Welfare Facilities</w:t>
      </w:r>
      <w:bookmarkStart w:id="1" w:name="bookmark=id.gjdgxs" w:colFirst="0" w:colLast="0"/>
      <w:bookmarkEnd w:id="1"/>
    </w:p>
    <w:p w14:paraId="22B3101B" w14:textId="77777777" w:rsidR="001A721B" w:rsidRDefault="001A721B" w:rsidP="001A721B">
      <w:pPr>
        <w:spacing w:line="360" w:lineRule="auto"/>
        <w:jc w:val="both"/>
        <w:rPr>
          <w:i/>
          <w:sz w:val="24"/>
          <w:szCs w:val="24"/>
        </w:rPr>
      </w:pPr>
    </w:p>
    <w:p w14:paraId="386E5B24" w14:textId="2A83F0A1" w:rsidR="001A721B" w:rsidRPr="001A721B" w:rsidRDefault="001A721B" w:rsidP="001A721B">
      <w:pPr>
        <w:jc w:val="both"/>
        <w:rPr>
          <w:i/>
          <w:sz w:val="24"/>
          <w:szCs w:val="24"/>
        </w:rPr>
        <w:sectPr w:rsidR="001A721B" w:rsidRPr="001A721B" w:rsidSect="005F0958">
          <w:headerReference w:type="even" r:id="rId9"/>
          <w:headerReference w:type="default" r:id="rId10"/>
          <w:footerReference w:type="default" r:id="rId11"/>
          <w:pgSz w:w="11910" w:h="16840"/>
          <w:pgMar w:top="567" w:right="709" w:bottom="567" w:left="709" w:header="709" w:footer="567" w:gutter="0"/>
          <w:pgNumType w:start="3312"/>
          <w:cols w:space="720"/>
        </w:sectPr>
      </w:pPr>
    </w:p>
    <w:p w14:paraId="7CAB473F" w14:textId="06B36059" w:rsidR="008B0879" w:rsidRPr="001A721B" w:rsidRDefault="001A721B" w:rsidP="001A721B">
      <w:pPr>
        <w:numPr>
          <w:ilvl w:val="0"/>
          <w:numId w:val="3"/>
        </w:numPr>
        <w:pBdr>
          <w:top w:val="nil"/>
          <w:left w:val="nil"/>
          <w:bottom w:val="nil"/>
          <w:right w:val="nil"/>
          <w:between w:val="nil"/>
        </w:pBdr>
        <w:tabs>
          <w:tab w:val="left" w:pos="1276"/>
        </w:tabs>
        <w:ind w:left="426"/>
        <w:rPr>
          <w:b/>
          <w:color w:val="0070C0"/>
          <w:sz w:val="24"/>
          <w:szCs w:val="24"/>
        </w:rPr>
      </w:pPr>
      <w:r w:rsidRPr="001A721B">
        <w:rPr>
          <w:b/>
          <w:color w:val="0070C0"/>
          <w:sz w:val="24"/>
          <w:szCs w:val="24"/>
        </w:rPr>
        <w:t>Introduction</w:t>
      </w:r>
    </w:p>
    <w:p w14:paraId="7D53E092" w14:textId="77777777" w:rsidR="001A721B" w:rsidRDefault="001A721B" w:rsidP="001A721B">
      <w:pPr>
        <w:jc w:val="both"/>
        <w:rPr>
          <w:sz w:val="24"/>
          <w:szCs w:val="24"/>
        </w:rPr>
        <w:sectPr w:rsidR="001A721B" w:rsidSect="001A721B">
          <w:type w:val="continuous"/>
          <w:pgSz w:w="11910" w:h="16840"/>
          <w:pgMar w:top="567" w:right="709" w:bottom="567" w:left="709" w:header="709" w:footer="567" w:gutter="0"/>
          <w:cols w:space="325"/>
        </w:sectPr>
      </w:pPr>
    </w:p>
    <w:p w14:paraId="680FB559" w14:textId="5FE5C6EE" w:rsidR="00410A0F" w:rsidRPr="001A721B" w:rsidRDefault="00410A0F" w:rsidP="001A721B">
      <w:pPr>
        <w:jc w:val="both"/>
        <w:rPr>
          <w:sz w:val="24"/>
          <w:szCs w:val="24"/>
        </w:rPr>
      </w:pPr>
      <w:r w:rsidRPr="001A721B">
        <w:rPr>
          <w:sz w:val="24"/>
          <w:szCs w:val="24"/>
        </w:rPr>
        <w:t xml:space="preserve">Employee satisfaction with welfare facilities is a crucial aspect of organizational management, directly influencing employee well-being, engagement, and productivity. Welfare facilities encompass a wide range of amenities and services provided by organizations to support the physical, emotional, and social needs of their employees. These may include healthcare benefits, wellness programs, childcare services, recreational facilities, and flexible work arrangements, among others. Understanding employees' perceptions and satisfaction with these welfare facilities is essential for organizations to design effective strategies that promote employee retention, loyalty, and overall job </w:t>
      </w:r>
      <w:r w:rsidR="00162E1D" w:rsidRPr="001A721B">
        <w:rPr>
          <w:sz w:val="24"/>
          <w:szCs w:val="24"/>
        </w:rPr>
        <w:t>satisfaction. In</w:t>
      </w:r>
      <w:r w:rsidRPr="001A721B">
        <w:rPr>
          <w:sz w:val="24"/>
          <w:szCs w:val="24"/>
        </w:rPr>
        <w:t xml:space="preserve"> recent years, there has been a growing recognition of the importance of employee welfare and its impact on organizational performance. Organizations are increasingly investing in welfare facilities as part of their efforts to attract and retain top talent, enhance employee engagement, and create a positive work culture. However, the effectiveness of these welfare initiatives depends largely on employees' perceptions </w:t>
      </w:r>
      <w:r w:rsidRPr="001A721B">
        <w:rPr>
          <w:sz w:val="24"/>
          <w:szCs w:val="24"/>
        </w:rPr>
        <w:t>of their adequacy, accessibility, and relevance to their needs.</w:t>
      </w:r>
      <w:r w:rsidR="005F0958">
        <w:rPr>
          <w:sz w:val="24"/>
          <w:szCs w:val="24"/>
        </w:rPr>
        <w:t xml:space="preserve"> [1]</w:t>
      </w:r>
    </w:p>
    <w:p w14:paraId="397C3B6F" w14:textId="5F025E32" w:rsidR="008B0879" w:rsidRPr="001A721B" w:rsidRDefault="00410A0F" w:rsidP="001A721B">
      <w:pPr>
        <w:numPr>
          <w:ilvl w:val="1"/>
          <w:numId w:val="1"/>
        </w:numPr>
        <w:pBdr>
          <w:top w:val="nil"/>
          <w:left w:val="nil"/>
          <w:bottom w:val="nil"/>
          <w:right w:val="nil"/>
          <w:between w:val="nil"/>
        </w:pBdr>
        <w:tabs>
          <w:tab w:val="left" w:pos="1276"/>
        </w:tabs>
        <w:rPr>
          <w:b/>
          <w:color w:val="0070C0"/>
          <w:sz w:val="24"/>
          <w:szCs w:val="24"/>
        </w:rPr>
      </w:pPr>
      <w:r w:rsidRPr="001A721B">
        <w:rPr>
          <w:b/>
          <w:color w:val="0070C0"/>
          <w:sz w:val="24"/>
          <w:szCs w:val="24"/>
        </w:rPr>
        <w:t>Fundamentals of Employee Satisfaction</w:t>
      </w:r>
    </w:p>
    <w:p w14:paraId="6DB1E60A" w14:textId="77777777" w:rsidR="000F4DF6" w:rsidRPr="001A721B" w:rsidRDefault="000F4DF6" w:rsidP="001A721B">
      <w:pPr>
        <w:pStyle w:val="NormalWeb"/>
        <w:spacing w:before="0" w:beforeAutospacing="0" w:after="0" w:afterAutospacing="0"/>
        <w:jc w:val="both"/>
      </w:pPr>
      <w:r w:rsidRPr="001A721B">
        <w:rPr>
          <w:rStyle w:val="Strong"/>
        </w:rPr>
        <w:t>Quick Access to IT and HR Support</w:t>
      </w:r>
      <w:r w:rsidRPr="001A721B">
        <w:t>: Ensure employees can easily contact IT and HR departments to resolve issues swiftly, minimizing distractions and enhancing satisfaction.</w:t>
      </w:r>
    </w:p>
    <w:p w14:paraId="5CD2FEC6" w14:textId="77777777" w:rsidR="000F4DF6" w:rsidRPr="001A721B" w:rsidRDefault="000F4DF6" w:rsidP="00162E1D">
      <w:pPr>
        <w:pStyle w:val="NormalWeb"/>
        <w:numPr>
          <w:ilvl w:val="0"/>
          <w:numId w:val="5"/>
        </w:numPr>
        <w:spacing w:before="0" w:beforeAutospacing="0" w:after="0" w:afterAutospacing="0"/>
        <w:ind w:hanging="270"/>
        <w:jc w:val="both"/>
      </w:pPr>
      <w:r w:rsidRPr="001A721B">
        <w:rPr>
          <w:rStyle w:val="Strong"/>
        </w:rPr>
        <w:t>Internal Help Center</w:t>
      </w:r>
      <w:r w:rsidRPr="001A721B">
        <w:t>: Create a centralized resource for employees to access information and support, keeping technology up-to-date for optimal efficiency.</w:t>
      </w:r>
    </w:p>
    <w:p w14:paraId="2584D68F" w14:textId="77777777" w:rsidR="000F4DF6" w:rsidRPr="00162E1D" w:rsidRDefault="000F4DF6" w:rsidP="00162E1D">
      <w:pPr>
        <w:pStyle w:val="NormalWeb"/>
        <w:numPr>
          <w:ilvl w:val="0"/>
          <w:numId w:val="5"/>
        </w:numPr>
        <w:spacing w:before="0" w:beforeAutospacing="0" w:after="0" w:afterAutospacing="0"/>
        <w:ind w:hanging="270"/>
        <w:jc w:val="both"/>
        <w:rPr>
          <w:rStyle w:val="Strong"/>
          <w:b w:val="0"/>
        </w:rPr>
      </w:pPr>
      <w:r w:rsidRPr="00162E1D">
        <w:rPr>
          <w:rStyle w:val="Strong"/>
        </w:rPr>
        <w:t>Involvement in Decision-Making:</w:t>
      </w:r>
      <w:r w:rsidRPr="00162E1D">
        <w:rPr>
          <w:rStyle w:val="Strong"/>
          <w:b w:val="0"/>
        </w:rPr>
        <w:t xml:space="preserve"> Engage employees in policy development to build trust and foster a sense of ownership, enhancing engagement.</w:t>
      </w:r>
    </w:p>
    <w:p w14:paraId="7428039D" w14:textId="77777777" w:rsidR="000F4DF6" w:rsidRPr="00162E1D" w:rsidRDefault="000F4DF6" w:rsidP="00162E1D">
      <w:pPr>
        <w:pStyle w:val="NormalWeb"/>
        <w:numPr>
          <w:ilvl w:val="0"/>
          <w:numId w:val="5"/>
        </w:numPr>
        <w:spacing w:before="0" w:beforeAutospacing="0" w:after="0" w:afterAutospacing="0"/>
        <w:ind w:hanging="270"/>
        <w:jc w:val="both"/>
        <w:rPr>
          <w:rStyle w:val="Strong"/>
          <w:b w:val="0"/>
        </w:rPr>
      </w:pPr>
      <w:r w:rsidRPr="00162E1D">
        <w:rPr>
          <w:rStyle w:val="Strong"/>
        </w:rPr>
        <w:t>Career Development Roadmaps:</w:t>
      </w:r>
      <w:r w:rsidRPr="00162E1D">
        <w:rPr>
          <w:rStyle w:val="Strong"/>
          <w:b w:val="0"/>
        </w:rPr>
        <w:t xml:space="preserve"> Provide clear paths for career progression, including mentoring opportunities to help employees navigate their growth.</w:t>
      </w:r>
    </w:p>
    <w:p w14:paraId="3E1F8BCE" w14:textId="77777777" w:rsidR="000F4DF6" w:rsidRPr="00162E1D" w:rsidRDefault="000F4DF6" w:rsidP="00162E1D">
      <w:pPr>
        <w:pStyle w:val="NormalWeb"/>
        <w:numPr>
          <w:ilvl w:val="0"/>
          <w:numId w:val="5"/>
        </w:numPr>
        <w:spacing w:before="0" w:beforeAutospacing="0" w:after="0" w:afterAutospacing="0"/>
        <w:ind w:hanging="270"/>
        <w:jc w:val="both"/>
        <w:rPr>
          <w:rStyle w:val="Strong"/>
          <w:b w:val="0"/>
        </w:rPr>
      </w:pPr>
      <w:r w:rsidRPr="00162E1D">
        <w:rPr>
          <w:rStyle w:val="Strong"/>
        </w:rPr>
        <w:t>Regular Feedback:</w:t>
      </w:r>
      <w:r w:rsidRPr="00162E1D">
        <w:rPr>
          <w:rStyle w:val="Strong"/>
          <w:b w:val="0"/>
        </w:rPr>
        <w:t xml:space="preserve"> Schedule consistent feedback sessions to keep employees informed </w:t>
      </w:r>
      <w:r w:rsidRPr="00162E1D">
        <w:rPr>
          <w:rStyle w:val="Strong"/>
          <w:b w:val="0"/>
        </w:rPr>
        <w:lastRenderedPageBreak/>
        <w:t>about their performance and areas for improvement, boosting engagement.</w:t>
      </w:r>
    </w:p>
    <w:p w14:paraId="5B433BB8" w14:textId="77777777" w:rsidR="000F4DF6" w:rsidRPr="00162E1D" w:rsidRDefault="000F4DF6" w:rsidP="00162E1D">
      <w:pPr>
        <w:pStyle w:val="NormalWeb"/>
        <w:numPr>
          <w:ilvl w:val="0"/>
          <w:numId w:val="5"/>
        </w:numPr>
        <w:spacing w:before="0" w:beforeAutospacing="0" w:after="0" w:afterAutospacing="0"/>
        <w:ind w:hanging="270"/>
        <w:jc w:val="both"/>
        <w:rPr>
          <w:rStyle w:val="Strong"/>
          <w:b w:val="0"/>
        </w:rPr>
      </w:pPr>
      <w:r w:rsidRPr="00162E1D">
        <w:rPr>
          <w:rStyle w:val="Strong"/>
        </w:rPr>
        <w:t>Competitive Compensation:</w:t>
      </w:r>
      <w:r w:rsidRPr="00162E1D">
        <w:rPr>
          <w:rStyle w:val="Strong"/>
          <w:b w:val="0"/>
        </w:rPr>
        <w:t xml:space="preserve"> Establish transparent pay strategies to attract and retain talent, ensuring salaries are aligned with market standards.</w:t>
      </w:r>
    </w:p>
    <w:p w14:paraId="3D56F289" w14:textId="77777777" w:rsidR="000F4DF6" w:rsidRPr="00162E1D" w:rsidRDefault="000F4DF6" w:rsidP="00162E1D">
      <w:pPr>
        <w:pStyle w:val="NormalWeb"/>
        <w:numPr>
          <w:ilvl w:val="0"/>
          <w:numId w:val="5"/>
        </w:numPr>
        <w:spacing w:before="0" w:beforeAutospacing="0" w:after="0" w:afterAutospacing="0"/>
        <w:ind w:hanging="270"/>
        <w:jc w:val="both"/>
        <w:rPr>
          <w:rStyle w:val="Strong"/>
          <w:b w:val="0"/>
        </w:rPr>
      </w:pPr>
      <w:r w:rsidRPr="00162E1D">
        <w:rPr>
          <w:rStyle w:val="Strong"/>
        </w:rPr>
        <w:t>Personalized Experiences:</w:t>
      </w:r>
      <w:r w:rsidRPr="00162E1D">
        <w:rPr>
          <w:rStyle w:val="Strong"/>
          <w:b w:val="0"/>
        </w:rPr>
        <w:t xml:space="preserve"> Tailor work environments and recognition to individual preferences to make employees feel valued.</w:t>
      </w:r>
    </w:p>
    <w:p w14:paraId="4BA352CD" w14:textId="77777777" w:rsidR="000F4DF6" w:rsidRPr="00162E1D" w:rsidRDefault="000F4DF6" w:rsidP="00162E1D">
      <w:pPr>
        <w:pStyle w:val="NormalWeb"/>
        <w:numPr>
          <w:ilvl w:val="0"/>
          <w:numId w:val="5"/>
        </w:numPr>
        <w:spacing w:before="0" w:beforeAutospacing="0" w:after="0" w:afterAutospacing="0"/>
        <w:ind w:hanging="270"/>
        <w:jc w:val="both"/>
        <w:rPr>
          <w:rStyle w:val="Strong"/>
          <w:b w:val="0"/>
        </w:rPr>
      </w:pPr>
      <w:r w:rsidRPr="00162E1D">
        <w:rPr>
          <w:rStyle w:val="Strong"/>
        </w:rPr>
        <w:t>Celebrate Milestones:</w:t>
      </w:r>
      <w:r w:rsidRPr="00162E1D">
        <w:rPr>
          <w:rStyle w:val="Strong"/>
          <w:b w:val="0"/>
        </w:rPr>
        <w:t xml:space="preserve"> Acknowledge achievements and important dates to foster a sense of belonging and appreciation among all team members.</w:t>
      </w:r>
    </w:p>
    <w:p w14:paraId="53AC64ED" w14:textId="77777777" w:rsidR="000F4DF6" w:rsidRPr="00162E1D" w:rsidRDefault="000F4DF6" w:rsidP="00162E1D">
      <w:pPr>
        <w:pStyle w:val="NormalWeb"/>
        <w:numPr>
          <w:ilvl w:val="0"/>
          <w:numId w:val="5"/>
        </w:numPr>
        <w:spacing w:before="0" w:beforeAutospacing="0" w:after="0" w:afterAutospacing="0"/>
        <w:ind w:hanging="270"/>
        <w:jc w:val="both"/>
        <w:rPr>
          <w:rStyle w:val="Strong"/>
          <w:b w:val="0"/>
        </w:rPr>
      </w:pPr>
      <w:r w:rsidRPr="00162E1D">
        <w:rPr>
          <w:rStyle w:val="Strong"/>
        </w:rPr>
        <w:t>Encourage Work-Life Balance:</w:t>
      </w:r>
      <w:r w:rsidRPr="00162E1D">
        <w:rPr>
          <w:rStyle w:val="Strong"/>
          <w:b w:val="0"/>
        </w:rPr>
        <w:t xml:space="preserve"> Prioritize employee well-being by promoting policies that support balance, such as flexible working options.</w:t>
      </w:r>
    </w:p>
    <w:p w14:paraId="17A8CBDD" w14:textId="77777777" w:rsidR="000F4DF6" w:rsidRPr="00162E1D" w:rsidRDefault="000F4DF6" w:rsidP="00162E1D">
      <w:pPr>
        <w:pStyle w:val="NormalWeb"/>
        <w:numPr>
          <w:ilvl w:val="0"/>
          <w:numId w:val="5"/>
        </w:numPr>
        <w:spacing w:before="0" w:beforeAutospacing="0" w:after="0" w:afterAutospacing="0"/>
        <w:ind w:hanging="270"/>
        <w:jc w:val="both"/>
        <w:rPr>
          <w:rStyle w:val="Strong"/>
          <w:b w:val="0"/>
        </w:rPr>
      </w:pPr>
      <w:r w:rsidRPr="00162E1D">
        <w:rPr>
          <w:rStyle w:val="Strong"/>
        </w:rPr>
        <w:t>Flexible Work Schedules:</w:t>
      </w:r>
      <w:r w:rsidRPr="00162E1D">
        <w:rPr>
          <w:rStyle w:val="Strong"/>
          <w:b w:val="0"/>
        </w:rPr>
        <w:t xml:space="preserve"> Implement adaptable work arrangements, ensuring equitable treatment and communication standards across all roles.</w:t>
      </w:r>
    </w:p>
    <w:p w14:paraId="34057F09" w14:textId="5320FC0F" w:rsidR="008B0879" w:rsidRPr="001A721B" w:rsidRDefault="000F4DF6" w:rsidP="001A721B">
      <w:pPr>
        <w:numPr>
          <w:ilvl w:val="1"/>
          <w:numId w:val="1"/>
        </w:numPr>
        <w:pBdr>
          <w:top w:val="nil"/>
          <w:left w:val="nil"/>
          <w:bottom w:val="nil"/>
          <w:right w:val="nil"/>
          <w:between w:val="nil"/>
        </w:pBdr>
        <w:tabs>
          <w:tab w:val="left" w:pos="1276"/>
        </w:tabs>
        <w:rPr>
          <w:b/>
          <w:color w:val="0070C0"/>
          <w:sz w:val="24"/>
          <w:szCs w:val="24"/>
        </w:rPr>
      </w:pPr>
      <w:r w:rsidRPr="001A721B">
        <w:rPr>
          <w:b/>
          <w:color w:val="0070C0"/>
          <w:sz w:val="24"/>
          <w:szCs w:val="24"/>
        </w:rPr>
        <w:t>Concept of Employee Welfare</w:t>
      </w:r>
    </w:p>
    <w:p w14:paraId="5018B403" w14:textId="3A028E2E" w:rsidR="000F4DF6" w:rsidRPr="001A721B" w:rsidRDefault="000F4DF6" w:rsidP="001A721B">
      <w:pPr>
        <w:jc w:val="both"/>
        <w:rPr>
          <w:sz w:val="24"/>
          <w:szCs w:val="24"/>
        </w:rPr>
      </w:pPr>
      <w:r w:rsidRPr="001A721B">
        <w:rPr>
          <w:sz w:val="24"/>
          <w:szCs w:val="24"/>
        </w:rPr>
        <w:t xml:space="preserve">Employee welfare is a dynamic concept as new welfare measures are added to the existing ones along with social changes. It is also a comprehensive concept. The modern concept of employee welfare entails all those activities of the employers which are directed towards providing the employees with certain facilities and services in addition to wages or salaries. Employee welfare is a dynamic concept as new welfare measures are added to the existing ones along with social changes. It is also a comprehensive concept. </w:t>
      </w:r>
      <w:r w:rsidR="005F0958">
        <w:rPr>
          <w:sz w:val="24"/>
          <w:szCs w:val="24"/>
        </w:rPr>
        <w:t>[2]</w:t>
      </w:r>
    </w:p>
    <w:p w14:paraId="3066DE4C" w14:textId="160E09D3" w:rsidR="008B0879" w:rsidRPr="001A721B" w:rsidRDefault="001A721B" w:rsidP="001A721B">
      <w:pPr>
        <w:numPr>
          <w:ilvl w:val="0"/>
          <w:numId w:val="3"/>
        </w:numPr>
        <w:pBdr>
          <w:top w:val="nil"/>
          <w:left w:val="nil"/>
          <w:bottom w:val="nil"/>
          <w:right w:val="nil"/>
          <w:between w:val="nil"/>
        </w:pBdr>
        <w:tabs>
          <w:tab w:val="left" w:pos="1276"/>
        </w:tabs>
        <w:ind w:left="426"/>
        <w:rPr>
          <w:b/>
          <w:color w:val="0070C0"/>
          <w:sz w:val="24"/>
          <w:szCs w:val="24"/>
        </w:rPr>
      </w:pPr>
      <w:r w:rsidRPr="001A721B">
        <w:rPr>
          <w:b/>
          <w:color w:val="0070C0"/>
          <w:sz w:val="24"/>
          <w:szCs w:val="24"/>
        </w:rPr>
        <w:t>Reviews of Literature</w:t>
      </w:r>
    </w:p>
    <w:p w14:paraId="1FF34AC4" w14:textId="4CEFB24E" w:rsidR="000F4DF6" w:rsidRPr="001A721B" w:rsidRDefault="000F4DF6" w:rsidP="001A721B">
      <w:pPr>
        <w:jc w:val="both"/>
        <w:rPr>
          <w:sz w:val="24"/>
          <w:szCs w:val="24"/>
        </w:rPr>
      </w:pPr>
      <w:r w:rsidRPr="00162E1D">
        <w:rPr>
          <w:bCs/>
          <w:sz w:val="24"/>
          <w:szCs w:val="24"/>
        </w:rPr>
        <w:t xml:space="preserve">Muhammad Irfan, Abdul Jalil, </w:t>
      </w:r>
      <w:proofErr w:type="spellStart"/>
      <w:r w:rsidRPr="00162E1D">
        <w:rPr>
          <w:bCs/>
          <w:sz w:val="24"/>
          <w:szCs w:val="24"/>
        </w:rPr>
        <w:t>Mrestyal</w:t>
      </w:r>
      <w:proofErr w:type="spellEnd"/>
      <w:r w:rsidRPr="00162E1D">
        <w:rPr>
          <w:bCs/>
          <w:sz w:val="24"/>
          <w:szCs w:val="24"/>
        </w:rPr>
        <w:t xml:space="preserve"> Khan, Salma Khan (2023)</w:t>
      </w:r>
      <w:r w:rsidRPr="001A721B">
        <w:rPr>
          <w:sz w:val="24"/>
          <w:szCs w:val="24"/>
        </w:rPr>
        <w:t xml:space="preserve"> has done research on” Effects of Welfare Facilities (Amenities for Well-Being) on the Satisfaction of Civil Engineers in Construction Industry” The construction industry plays an important role in the upliftment of a country’s economy. Thus, the satisfaction of workers in the construction industry is of prime importance, since it is believed that satisfied working staff will be more efficient and effective. Therefore, it becomes crucial to understand the factors that may influence the satisfaction of the workforce. Among these factors, recently, welfare facilities have received much attention. In this study, welfare facilities such as </w:t>
      </w:r>
      <w:r w:rsidRPr="001A721B">
        <w:rPr>
          <w:sz w:val="24"/>
          <w:szCs w:val="24"/>
        </w:rPr>
        <w:t>health, hygiene, eating, drinking, resting, safety, and transportation play a vital role in the satisfaction of workers in the construction industry. Furthermore, a questionnaire survey was used to collect data from 203 civil engineers in Baluchistan, Pakistan. The data was analyzed using Partial Least Squares-Structural Equation Modelling (PLS-SEM). Consequently, the empirical findings indicated that providing welfare facilities have a significant positive impact on the satisfaction of workers. Additionally, the results indicate that among the facilities, transportation and hygiene facilities are the major requirements of civil engineers. Hence, it can be concluded from the findings that organizations that are involved in construction projects, wish to increase the satisfaction of workers and success rate, they should focus on providing welfare facilities to their employees.</w:t>
      </w:r>
      <w:r w:rsidR="005F0958">
        <w:rPr>
          <w:sz w:val="24"/>
          <w:szCs w:val="24"/>
        </w:rPr>
        <w:t xml:space="preserve"> [3]</w:t>
      </w:r>
      <w:r w:rsidR="00162E1D">
        <w:rPr>
          <w:sz w:val="24"/>
          <w:szCs w:val="24"/>
        </w:rPr>
        <w:t xml:space="preserve"> </w:t>
      </w:r>
      <w:proofErr w:type="spellStart"/>
      <w:r w:rsidRPr="00162E1D">
        <w:rPr>
          <w:bCs/>
          <w:sz w:val="24"/>
          <w:szCs w:val="24"/>
        </w:rPr>
        <w:t>Sabil</w:t>
      </w:r>
      <w:proofErr w:type="spellEnd"/>
      <w:r w:rsidRPr="00162E1D">
        <w:rPr>
          <w:bCs/>
          <w:sz w:val="24"/>
          <w:szCs w:val="24"/>
        </w:rPr>
        <w:t>, Lukman Hakim, Mohammad Amas Lahat, Rosento (2023)</w:t>
      </w:r>
      <w:r w:rsidRPr="001A721B">
        <w:rPr>
          <w:sz w:val="24"/>
          <w:szCs w:val="24"/>
        </w:rPr>
        <w:t xml:space="preserve"> has done research on “The Role of Employee Welfare in Improving Work Productivity in Service Companies” This comprehensive bibliometric analysis explores the intricate relationship between employee welfare and work productivity in the context of service companies. Examining a diverse body of literature through systematic quantitative methods, the study identifies key themes, trends, and research gaps. The findings highlight the pivotal role of employee welfare, spanning healthcare benefits, workplace safety, and a supportive organizational culture, in shaping a positive work environment. The study underscores the direct impact of employee well-being on engagement, job satisfaction, and overall productivity. Practical implications encompass informed human resource practices, strategic interventions, and the optimization of work environments, offering actionable insights for practitioners and policymakers. Recognizing the strategic advantage in linking employee well-being to organizational success emerges as crucial for attracting and retaining top talent. Furthermore, the analysis points to less-explored research avenues, guiding scholars toward areas such as” work discipline,”” business outcomes,” and” profitability.” In essence, this bibliometric study bridges academia and practice, advocating for a holistic and evidence-</w:t>
      </w:r>
      <w:r w:rsidRPr="001A721B">
        <w:rPr>
          <w:sz w:val="24"/>
          <w:szCs w:val="24"/>
        </w:rPr>
        <w:lastRenderedPageBreak/>
        <w:t>based approach to human resource management, positioning employee welfare as a strategic imperative for sustained success.</w:t>
      </w:r>
      <w:r w:rsidR="005F0958">
        <w:rPr>
          <w:sz w:val="24"/>
          <w:szCs w:val="24"/>
        </w:rPr>
        <w:t xml:space="preserve"> [4]</w:t>
      </w:r>
    </w:p>
    <w:p w14:paraId="0719DA16" w14:textId="3DD99AF8" w:rsidR="000F4DF6" w:rsidRPr="001A721B" w:rsidRDefault="001A721B" w:rsidP="001A721B">
      <w:pPr>
        <w:numPr>
          <w:ilvl w:val="0"/>
          <w:numId w:val="3"/>
        </w:numPr>
        <w:pBdr>
          <w:top w:val="nil"/>
          <w:left w:val="nil"/>
          <w:bottom w:val="nil"/>
          <w:right w:val="nil"/>
          <w:between w:val="nil"/>
        </w:pBdr>
        <w:tabs>
          <w:tab w:val="left" w:pos="1276"/>
        </w:tabs>
        <w:ind w:left="426"/>
        <w:rPr>
          <w:b/>
          <w:color w:val="0070C0"/>
          <w:sz w:val="24"/>
          <w:szCs w:val="24"/>
        </w:rPr>
      </w:pPr>
      <w:r w:rsidRPr="001A721B">
        <w:rPr>
          <w:b/>
          <w:color w:val="0070C0"/>
          <w:sz w:val="24"/>
          <w:szCs w:val="24"/>
        </w:rPr>
        <w:t>Methodology &amp; Analysis</w:t>
      </w:r>
    </w:p>
    <w:p w14:paraId="07F5FF6A" w14:textId="601AFC26" w:rsidR="008B0879" w:rsidRPr="001A721B" w:rsidRDefault="000F4DF6" w:rsidP="001A721B">
      <w:pPr>
        <w:tabs>
          <w:tab w:val="left" w:pos="709"/>
          <w:tab w:val="left" w:pos="1276"/>
        </w:tabs>
        <w:jc w:val="both"/>
        <w:rPr>
          <w:sz w:val="24"/>
          <w:szCs w:val="24"/>
        </w:rPr>
      </w:pPr>
      <w:r w:rsidRPr="001A721B">
        <w:rPr>
          <w:sz w:val="24"/>
          <w:szCs w:val="24"/>
        </w:rPr>
        <w:t xml:space="preserve">The study is descriptive in nature. The aggregate of all the units pertaining to the study is called the population of the universe. The researcher selected the employees working in Kerala Minerals and Metals Limited, </w:t>
      </w:r>
      <w:proofErr w:type="spellStart"/>
      <w:r w:rsidRPr="001A721B">
        <w:rPr>
          <w:sz w:val="24"/>
          <w:szCs w:val="24"/>
        </w:rPr>
        <w:t>Chavara</w:t>
      </w:r>
      <w:proofErr w:type="spellEnd"/>
      <w:r w:rsidRPr="001A721B">
        <w:rPr>
          <w:sz w:val="24"/>
          <w:szCs w:val="24"/>
        </w:rPr>
        <w:t>, Kollam. The researcher adopted Simple random sampling. Simple random sampling is a method of selecting a sample from a population in which every individual or item in the population has an equal chance of being selected. Sample of 60 employees were taken in to study, and there were collected.</w:t>
      </w:r>
    </w:p>
    <w:p w14:paraId="03544520" w14:textId="56479825" w:rsidR="008B0879" w:rsidRPr="001A721B" w:rsidRDefault="00B670B1" w:rsidP="001A721B">
      <w:pPr>
        <w:numPr>
          <w:ilvl w:val="1"/>
          <w:numId w:val="3"/>
        </w:numPr>
        <w:pBdr>
          <w:top w:val="nil"/>
          <w:left w:val="nil"/>
          <w:bottom w:val="nil"/>
          <w:right w:val="nil"/>
          <w:between w:val="nil"/>
        </w:pBdr>
        <w:tabs>
          <w:tab w:val="left" w:pos="1276"/>
        </w:tabs>
        <w:rPr>
          <w:b/>
          <w:color w:val="0070C0"/>
          <w:sz w:val="24"/>
          <w:szCs w:val="24"/>
        </w:rPr>
      </w:pPr>
      <w:r w:rsidRPr="001A721B">
        <w:rPr>
          <w:b/>
          <w:color w:val="0070C0"/>
          <w:sz w:val="24"/>
          <w:szCs w:val="24"/>
        </w:rPr>
        <w:t xml:space="preserve"> </w:t>
      </w:r>
      <w:r w:rsidR="000F4DF6" w:rsidRPr="001A721B">
        <w:rPr>
          <w:b/>
          <w:color w:val="0070C0"/>
          <w:sz w:val="24"/>
          <w:szCs w:val="24"/>
        </w:rPr>
        <w:t>Research Objectives</w:t>
      </w:r>
    </w:p>
    <w:p w14:paraId="5E96ACE6" w14:textId="4091C219" w:rsidR="000F4DF6" w:rsidRPr="00162E1D" w:rsidRDefault="000F4DF6" w:rsidP="00162E1D">
      <w:pPr>
        <w:pStyle w:val="NormalWeb"/>
        <w:numPr>
          <w:ilvl w:val="0"/>
          <w:numId w:val="5"/>
        </w:numPr>
        <w:spacing w:before="0" w:beforeAutospacing="0" w:after="0" w:afterAutospacing="0"/>
        <w:ind w:hanging="270"/>
        <w:jc w:val="both"/>
        <w:rPr>
          <w:rStyle w:val="Strong"/>
          <w:b w:val="0"/>
        </w:rPr>
      </w:pPr>
      <w:r w:rsidRPr="00162E1D">
        <w:rPr>
          <w:rStyle w:val="Strong"/>
          <w:b w:val="0"/>
        </w:rPr>
        <w:t>To know the personal profile of the employees</w:t>
      </w:r>
    </w:p>
    <w:p w14:paraId="5573E166" w14:textId="32D01372" w:rsidR="000F4DF6" w:rsidRPr="00162E1D" w:rsidRDefault="000F4DF6" w:rsidP="00162E1D">
      <w:pPr>
        <w:pStyle w:val="NormalWeb"/>
        <w:numPr>
          <w:ilvl w:val="0"/>
          <w:numId w:val="5"/>
        </w:numPr>
        <w:spacing w:before="0" w:beforeAutospacing="0" w:after="0" w:afterAutospacing="0"/>
        <w:ind w:hanging="270"/>
        <w:jc w:val="both"/>
        <w:rPr>
          <w:rStyle w:val="Strong"/>
          <w:b w:val="0"/>
        </w:rPr>
      </w:pPr>
      <w:r w:rsidRPr="00162E1D">
        <w:rPr>
          <w:rStyle w:val="Strong"/>
          <w:b w:val="0"/>
        </w:rPr>
        <w:t>To measure the level of employee’s satisfaction and welfare facilities</w:t>
      </w:r>
    </w:p>
    <w:p w14:paraId="599AEAD5" w14:textId="2200D9BE" w:rsidR="000F4DF6" w:rsidRPr="00162E1D" w:rsidRDefault="000F4DF6" w:rsidP="00162E1D">
      <w:pPr>
        <w:pStyle w:val="NormalWeb"/>
        <w:numPr>
          <w:ilvl w:val="0"/>
          <w:numId w:val="5"/>
        </w:numPr>
        <w:spacing w:before="0" w:beforeAutospacing="0" w:after="0" w:afterAutospacing="0"/>
        <w:ind w:hanging="270"/>
        <w:jc w:val="both"/>
        <w:rPr>
          <w:rStyle w:val="Strong"/>
          <w:b w:val="0"/>
        </w:rPr>
      </w:pPr>
      <w:r w:rsidRPr="00162E1D">
        <w:rPr>
          <w:rStyle w:val="Strong"/>
          <w:b w:val="0"/>
        </w:rPr>
        <w:t>To know the various welfare facilities provided by the organization</w:t>
      </w:r>
    </w:p>
    <w:p w14:paraId="6A3C51E6" w14:textId="15AE0254" w:rsidR="008B0879" w:rsidRPr="00162E1D" w:rsidRDefault="000F4DF6" w:rsidP="00162E1D">
      <w:pPr>
        <w:pStyle w:val="NormalWeb"/>
        <w:numPr>
          <w:ilvl w:val="0"/>
          <w:numId w:val="5"/>
        </w:numPr>
        <w:spacing w:before="0" w:beforeAutospacing="0" w:after="0" w:afterAutospacing="0"/>
        <w:ind w:hanging="270"/>
        <w:jc w:val="both"/>
        <w:rPr>
          <w:rStyle w:val="Strong"/>
          <w:b w:val="0"/>
        </w:rPr>
      </w:pPr>
      <w:r w:rsidRPr="00162E1D">
        <w:rPr>
          <w:rStyle w:val="Strong"/>
          <w:b w:val="0"/>
        </w:rPr>
        <w:t>To analyze the impact of employee satisfaction and welfare facilities</w:t>
      </w:r>
    </w:p>
    <w:p w14:paraId="733B95B3" w14:textId="77777777" w:rsidR="001A721B" w:rsidRDefault="001A721B" w:rsidP="00162E1D">
      <w:pPr>
        <w:pBdr>
          <w:top w:val="nil"/>
          <w:left w:val="nil"/>
          <w:bottom w:val="nil"/>
          <w:right w:val="nil"/>
          <w:between w:val="nil"/>
        </w:pBdr>
        <w:tabs>
          <w:tab w:val="left" w:pos="1276"/>
        </w:tabs>
        <w:ind w:left="360"/>
        <w:rPr>
          <w:b/>
          <w:color w:val="0070C0"/>
          <w:sz w:val="24"/>
          <w:szCs w:val="24"/>
        </w:rPr>
      </w:pPr>
    </w:p>
    <w:p w14:paraId="62403AFE" w14:textId="5F4E5609" w:rsidR="00913E57" w:rsidRPr="009779C8" w:rsidRDefault="009779C8" w:rsidP="00162E1D">
      <w:pPr>
        <w:pBdr>
          <w:top w:val="nil"/>
          <w:left w:val="nil"/>
          <w:bottom w:val="nil"/>
          <w:right w:val="nil"/>
          <w:between w:val="nil"/>
        </w:pBdr>
        <w:tabs>
          <w:tab w:val="left" w:pos="1276"/>
        </w:tabs>
        <w:ind w:left="360"/>
        <w:jc w:val="center"/>
        <w:rPr>
          <w:b/>
          <w:sz w:val="24"/>
          <w:szCs w:val="24"/>
        </w:rPr>
      </w:pPr>
      <w:r w:rsidRPr="009779C8">
        <w:rPr>
          <w:b/>
          <w:color w:val="0070C0"/>
          <w:sz w:val="24"/>
          <w:szCs w:val="24"/>
        </w:rPr>
        <w:t xml:space="preserve">Table 1 </w:t>
      </w:r>
      <w:r w:rsidR="00B670B1" w:rsidRPr="009779C8">
        <w:rPr>
          <w:b/>
          <w:sz w:val="24"/>
          <w:szCs w:val="24"/>
        </w:rPr>
        <w:t>Level of Employee Satisfaction</w:t>
      </w:r>
    </w:p>
    <w:tbl>
      <w:tblPr>
        <w:tblW w:w="4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
        <w:gridCol w:w="1884"/>
        <w:gridCol w:w="1411"/>
        <w:gridCol w:w="1260"/>
      </w:tblGrid>
      <w:tr w:rsidR="00B670B1" w:rsidRPr="001A721B" w14:paraId="1AAA8163" w14:textId="77777777" w:rsidTr="00162E1D">
        <w:trPr>
          <w:cantSplit/>
          <w:trHeight w:val="247"/>
          <w:jc w:val="center"/>
        </w:trPr>
        <w:tc>
          <w:tcPr>
            <w:tcW w:w="1914" w:type="dxa"/>
            <w:gridSpan w:val="2"/>
            <w:shd w:val="clear" w:color="auto" w:fill="FFFFFF"/>
            <w:vAlign w:val="center"/>
          </w:tcPr>
          <w:p w14:paraId="779BD86A" w14:textId="77777777" w:rsidR="00B670B1" w:rsidRPr="00162E1D" w:rsidRDefault="00B670B1" w:rsidP="00162E1D">
            <w:pPr>
              <w:jc w:val="center"/>
              <w:rPr>
                <w:b/>
                <w:lang w:val="en-GB"/>
              </w:rPr>
            </w:pPr>
            <w:r w:rsidRPr="00162E1D">
              <w:rPr>
                <w:b/>
                <w:lang w:val="en-GB"/>
              </w:rPr>
              <w:t>Level of Employee Satisfaction</w:t>
            </w:r>
          </w:p>
        </w:tc>
        <w:tc>
          <w:tcPr>
            <w:tcW w:w="1411" w:type="dxa"/>
            <w:shd w:val="clear" w:color="auto" w:fill="FFFFFF"/>
            <w:vAlign w:val="center"/>
          </w:tcPr>
          <w:p w14:paraId="30CA4655" w14:textId="77777777" w:rsidR="00B670B1" w:rsidRPr="00162E1D" w:rsidRDefault="00B670B1" w:rsidP="00162E1D">
            <w:pPr>
              <w:autoSpaceDE w:val="0"/>
              <w:autoSpaceDN w:val="0"/>
              <w:adjustRightInd w:val="0"/>
              <w:ind w:right="60"/>
              <w:jc w:val="center"/>
              <w:rPr>
                <w:b/>
                <w:color w:val="000000"/>
              </w:rPr>
            </w:pPr>
            <w:r w:rsidRPr="00162E1D">
              <w:rPr>
                <w:b/>
                <w:color w:val="000000"/>
              </w:rPr>
              <w:t>No of Respondents</w:t>
            </w:r>
          </w:p>
        </w:tc>
        <w:tc>
          <w:tcPr>
            <w:tcW w:w="1260" w:type="dxa"/>
            <w:shd w:val="clear" w:color="auto" w:fill="FFFFFF"/>
            <w:vAlign w:val="center"/>
          </w:tcPr>
          <w:p w14:paraId="5AF8ED0A" w14:textId="77777777" w:rsidR="00B670B1" w:rsidRPr="00162E1D" w:rsidRDefault="00B670B1" w:rsidP="00162E1D">
            <w:pPr>
              <w:autoSpaceDE w:val="0"/>
              <w:autoSpaceDN w:val="0"/>
              <w:adjustRightInd w:val="0"/>
              <w:ind w:left="60" w:right="60"/>
              <w:jc w:val="center"/>
              <w:rPr>
                <w:b/>
                <w:color w:val="000000"/>
              </w:rPr>
            </w:pPr>
            <w:r w:rsidRPr="00162E1D">
              <w:rPr>
                <w:b/>
                <w:color w:val="000000"/>
              </w:rPr>
              <w:t>Percentage</w:t>
            </w:r>
          </w:p>
        </w:tc>
      </w:tr>
      <w:tr w:rsidR="00B670B1" w:rsidRPr="001A721B" w14:paraId="07F4CD69" w14:textId="77777777" w:rsidTr="00162E1D">
        <w:trPr>
          <w:cantSplit/>
          <w:trHeight w:val="226"/>
          <w:jc w:val="center"/>
        </w:trPr>
        <w:tc>
          <w:tcPr>
            <w:tcW w:w="30" w:type="dxa"/>
            <w:vMerge w:val="restart"/>
            <w:shd w:val="clear" w:color="auto" w:fill="FFFFFF"/>
            <w:vAlign w:val="center"/>
          </w:tcPr>
          <w:p w14:paraId="1A3263E5" w14:textId="77FB1A30" w:rsidR="00B670B1" w:rsidRPr="00162E1D" w:rsidRDefault="00B670B1" w:rsidP="00162E1D">
            <w:pPr>
              <w:autoSpaceDE w:val="0"/>
              <w:autoSpaceDN w:val="0"/>
              <w:adjustRightInd w:val="0"/>
              <w:ind w:right="60"/>
              <w:jc w:val="center"/>
              <w:rPr>
                <w:color w:val="000000"/>
              </w:rPr>
            </w:pPr>
          </w:p>
        </w:tc>
        <w:tc>
          <w:tcPr>
            <w:tcW w:w="1884" w:type="dxa"/>
            <w:shd w:val="clear" w:color="auto" w:fill="FFFFFF"/>
            <w:vAlign w:val="center"/>
          </w:tcPr>
          <w:p w14:paraId="1A2F131F" w14:textId="77777777" w:rsidR="00B670B1" w:rsidRPr="00162E1D" w:rsidRDefault="00B670B1" w:rsidP="00162E1D">
            <w:pPr>
              <w:autoSpaceDE w:val="0"/>
              <w:autoSpaceDN w:val="0"/>
              <w:adjustRightInd w:val="0"/>
              <w:ind w:left="60" w:right="60"/>
              <w:jc w:val="center"/>
              <w:rPr>
                <w:color w:val="000000"/>
              </w:rPr>
            </w:pPr>
            <w:r w:rsidRPr="00162E1D">
              <w:rPr>
                <w:color w:val="000000"/>
              </w:rPr>
              <w:t>Low</w:t>
            </w:r>
          </w:p>
        </w:tc>
        <w:tc>
          <w:tcPr>
            <w:tcW w:w="1411" w:type="dxa"/>
            <w:shd w:val="clear" w:color="auto" w:fill="FFFFFF"/>
            <w:vAlign w:val="center"/>
          </w:tcPr>
          <w:p w14:paraId="1AFD5851" w14:textId="77777777" w:rsidR="00B670B1" w:rsidRPr="00162E1D" w:rsidRDefault="00B670B1" w:rsidP="00162E1D">
            <w:pPr>
              <w:autoSpaceDE w:val="0"/>
              <w:autoSpaceDN w:val="0"/>
              <w:adjustRightInd w:val="0"/>
              <w:ind w:left="60" w:right="60"/>
              <w:jc w:val="center"/>
              <w:rPr>
                <w:color w:val="000000"/>
              </w:rPr>
            </w:pPr>
            <w:r w:rsidRPr="00162E1D">
              <w:rPr>
                <w:color w:val="000000"/>
              </w:rPr>
              <w:t>1</w:t>
            </w:r>
          </w:p>
        </w:tc>
        <w:tc>
          <w:tcPr>
            <w:tcW w:w="1260" w:type="dxa"/>
            <w:shd w:val="clear" w:color="auto" w:fill="FFFFFF"/>
            <w:vAlign w:val="center"/>
          </w:tcPr>
          <w:p w14:paraId="0431DCEB" w14:textId="77777777" w:rsidR="00B670B1" w:rsidRPr="00162E1D" w:rsidRDefault="00B670B1" w:rsidP="00162E1D">
            <w:pPr>
              <w:autoSpaceDE w:val="0"/>
              <w:autoSpaceDN w:val="0"/>
              <w:adjustRightInd w:val="0"/>
              <w:ind w:left="60" w:right="60"/>
              <w:jc w:val="center"/>
              <w:rPr>
                <w:color w:val="000000"/>
              </w:rPr>
            </w:pPr>
            <w:r w:rsidRPr="00162E1D">
              <w:rPr>
                <w:color w:val="000000"/>
              </w:rPr>
              <w:t>1.7</w:t>
            </w:r>
          </w:p>
        </w:tc>
      </w:tr>
      <w:tr w:rsidR="00B670B1" w:rsidRPr="001A721B" w14:paraId="06F749B1" w14:textId="77777777" w:rsidTr="00162E1D">
        <w:trPr>
          <w:cantSplit/>
          <w:trHeight w:val="223"/>
          <w:jc w:val="center"/>
        </w:trPr>
        <w:tc>
          <w:tcPr>
            <w:tcW w:w="30" w:type="dxa"/>
            <w:vMerge/>
            <w:shd w:val="clear" w:color="auto" w:fill="FFFFFF"/>
            <w:vAlign w:val="center"/>
          </w:tcPr>
          <w:p w14:paraId="5578E4CC" w14:textId="77777777" w:rsidR="00B670B1" w:rsidRPr="00162E1D" w:rsidRDefault="00B670B1" w:rsidP="00162E1D">
            <w:pPr>
              <w:autoSpaceDE w:val="0"/>
              <w:autoSpaceDN w:val="0"/>
              <w:adjustRightInd w:val="0"/>
              <w:jc w:val="center"/>
              <w:rPr>
                <w:color w:val="000000"/>
              </w:rPr>
            </w:pPr>
          </w:p>
        </w:tc>
        <w:tc>
          <w:tcPr>
            <w:tcW w:w="1884" w:type="dxa"/>
            <w:shd w:val="clear" w:color="auto" w:fill="FFFFFF"/>
            <w:vAlign w:val="center"/>
          </w:tcPr>
          <w:p w14:paraId="19EE5408" w14:textId="77777777" w:rsidR="00B670B1" w:rsidRPr="00162E1D" w:rsidRDefault="00B670B1" w:rsidP="00162E1D">
            <w:pPr>
              <w:autoSpaceDE w:val="0"/>
              <w:autoSpaceDN w:val="0"/>
              <w:adjustRightInd w:val="0"/>
              <w:ind w:left="60" w:right="60"/>
              <w:jc w:val="center"/>
              <w:rPr>
                <w:color w:val="000000"/>
              </w:rPr>
            </w:pPr>
            <w:r w:rsidRPr="00162E1D">
              <w:rPr>
                <w:color w:val="000000"/>
              </w:rPr>
              <w:t>Moderate</w:t>
            </w:r>
          </w:p>
        </w:tc>
        <w:tc>
          <w:tcPr>
            <w:tcW w:w="1411" w:type="dxa"/>
            <w:shd w:val="clear" w:color="auto" w:fill="FFFFFF"/>
            <w:vAlign w:val="center"/>
          </w:tcPr>
          <w:p w14:paraId="671A7C4A" w14:textId="77777777" w:rsidR="00B670B1" w:rsidRPr="00162E1D" w:rsidRDefault="00B670B1" w:rsidP="00162E1D">
            <w:pPr>
              <w:autoSpaceDE w:val="0"/>
              <w:autoSpaceDN w:val="0"/>
              <w:adjustRightInd w:val="0"/>
              <w:ind w:left="60" w:right="60"/>
              <w:jc w:val="center"/>
              <w:rPr>
                <w:color w:val="000000"/>
              </w:rPr>
            </w:pPr>
            <w:r w:rsidRPr="00162E1D">
              <w:rPr>
                <w:color w:val="000000"/>
              </w:rPr>
              <w:t>46</w:t>
            </w:r>
          </w:p>
        </w:tc>
        <w:tc>
          <w:tcPr>
            <w:tcW w:w="1260" w:type="dxa"/>
            <w:shd w:val="clear" w:color="auto" w:fill="FFFFFF"/>
            <w:vAlign w:val="center"/>
          </w:tcPr>
          <w:p w14:paraId="7E1F045C" w14:textId="77777777" w:rsidR="00B670B1" w:rsidRPr="00162E1D" w:rsidRDefault="00B670B1" w:rsidP="00162E1D">
            <w:pPr>
              <w:autoSpaceDE w:val="0"/>
              <w:autoSpaceDN w:val="0"/>
              <w:adjustRightInd w:val="0"/>
              <w:ind w:left="60" w:right="60"/>
              <w:jc w:val="center"/>
              <w:rPr>
                <w:color w:val="000000"/>
              </w:rPr>
            </w:pPr>
            <w:r w:rsidRPr="00162E1D">
              <w:rPr>
                <w:color w:val="000000"/>
              </w:rPr>
              <w:t>76.7</w:t>
            </w:r>
          </w:p>
        </w:tc>
      </w:tr>
      <w:tr w:rsidR="00B670B1" w:rsidRPr="001A721B" w14:paraId="6C919610" w14:textId="77777777" w:rsidTr="00162E1D">
        <w:trPr>
          <w:cantSplit/>
          <w:trHeight w:val="227"/>
          <w:jc w:val="center"/>
        </w:trPr>
        <w:tc>
          <w:tcPr>
            <w:tcW w:w="30" w:type="dxa"/>
            <w:vMerge/>
            <w:shd w:val="clear" w:color="auto" w:fill="FFFFFF"/>
            <w:vAlign w:val="center"/>
          </w:tcPr>
          <w:p w14:paraId="57D2BFF9" w14:textId="77777777" w:rsidR="00B670B1" w:rsidRPr="00162E1D" w:rsidRDefault="00B670B1" w:rsidP="00162E1D">
            <w:pPr>
              <w:autoSpaceDE w:val="0"/>
              <w:autoSpaceDN w:val="0"/>
              <w:adjustRightInd w:val="0"/>
              <w:jc w:val="center"/>
              <w:rPr>
                <w:color w:val="000000"/>
              </w:rPr>
            </w:pPr>
          </w:p>
        </w:tc>
        <w:tc>
          <w:tcPr>
            <w:tcW w:w="1884" w:type="dxa"/>
            <w:shd w:val="clear" w:color="auto" w:fill="FFFFFF"/>
            <w:vAlign w:val="center"/>
          </w:tcPr>
          <w:p w14:paraId="4B1BA7E5" w14:textId="77777777" w:rsidR="00B670B1" w:rsidRPr="00162E1D" w:rsidRDefault="00B670B1" w:rsidP="00162E1D">
            <w:pPr>
              <w:autoSpaceDE w:val="0"/>
              <w:autoSpaceDN w:val="0"/>
              <w:adjustRightInd w:val="0"/>
              <w:ind w:left="60" w:right="60"/>
              <w:jc w:val="center"/>
              <w:rPr>
                <w:color w:val="000000"/>
              </w:rPr>
            </w:pPr>
            <w:r w:rsidRPr="00162E1D">
              <w:rPr>
                <w:color w:val="000000"/>
              </w:rPr>
              <w:t>High</w:t>
            </w:r>
          </w:p>
        </w:tc>
        <w:tc>
          <w:tcPr>
            <w:tcW w:w="1411" w:type="dxa"/>
            <w:shd w:val="clear" w:color="auto" w:fill="FFFFFF"/>
            <w:vAlign w:val="center"/>
          </w:tcPr>
          <w:p w14:paraId="7F04E05E" w14:textId="77777777" w:rsidR="00B670B1" w:rsidRPr="00162E1D" w:rsidRDefault="00B670B1" w:rsidP="00162E1D">
            <w:pPr>
              <w:autoSpaceDE w:val="0"/>
              <w:autoSpaceDN w:val="0"/>
              <w:adjustRightInd w:val="0"/>
              <w:ind w:left="60" w:right="60"/>
              <w:jc w:val="center"/>
              <w:rPr>
                <w:color w:val="000000"/>
              </w:rPr>
            </w:pPr>
            <w:r w:rsidRPr="00162E1D">
              <w:rPr>
                <w:color w:val="000000"/>
              </w:rPr>
              <w:t>13</w:t>
            </w:r>
          </w:p>
        </w:tc>
        <w:tc>
          <w:tcPr>
            <w:tcW w:w="1260" w:type="dxa"/>
            <w:shd w:val="clear" w:color="auto" w:fill="FFFFFF"/>
            <w:vAlign w:val="center"/>
          </w:tcPr>
          <w:p w14:paraId="792070BA" w14:textId="77777777" w:rsidR="00B670B1" w:rsidRPr="00162E1D" w:rsidRDefault="00B670B1" w:rsidP="00162E1D">
            <w:pPr>
              <w:autoSpaceDE w:val="0"/>
              <w:autoSpaceDN w:val="0"/>
              <w:adjustRightInd w:val="0"/>
              <w:ind w:left="60" w:right="60"/>
              <w:jc w:val="center"/>
              <w:rPr>
                <w:color w:val="000000"/>
              </w:rPr>
            </w:pPr>
            <w:r w:rsidRPr="00162E1D">
              <w:rPr>
                <w:color w:val="000000"/>
              </w:rPr>
              <w:t>21.7</w:t>
            </w:r>
          </w:p>
        </w:tc>
      </w:tr>
      <w:tr w:rsidR="00B670B1" w:rsidRPr="001A721B" w14:paraId="0FC2931A" w14:textId="77777777" w:rsidTr="00162E1D">
        <w:trPr>
          <w:cantSplit/>
          <w:trHeight w:val="218"/>
          <w:jc w:val="center"/>
        </w:trPr>
        <w:tc>
          <w:tcPr>
            <w:tcW w:w="30" w:type="dxa"/>
            <w:vMerge/>
            <w:shd w:val="clear" w:color="auto" w:fill="FFFFFF"/>
            <w:vAlign w:val="center"/>
          </w:tcPr>
          <w:p w14:paraId="2836E5D1" w14:textId="77777777" w:rsidR="00B670B1" w:rsidRPr="00162E1D" w:rsidRDefault="00B670B1" w:rsidP="00162E1D">
            <w:pPr>
              <w:autoSpaceDE w:val="0"/>
              <w:autoSpaceDN w:val="0"/>
              <w:adjustRightInd w:val="0"/>
              <w:jc w:val="center"/>
              <w:rPr>
                <w:color w:val="000000"/>
              </w:rPr>
            </w:pPr>
          </w:p>
        </w:tc>
        <w:tc>
          <w:tcPr>
            <w:tcW w:w="1884" w:type="dxa"/>
            <w:shd w:val="clear" w:color="auto" w:fill="FFFFFF"/>
            <w:vAlign w:val="center"/>
          </w:tcPr>
          <w:p w14:paraId="5D1B3C18" w14:textId="77777777" w:rsidR="00B670B1" w:rsidRPr="00162E1D" w:rsidRDefault="00B670B1" w:rsidP="00162E1D">
            <w:pPr>
              <w:autoSpaceDE w:val="0"/>
              <w:autoSpaceDN w:val="0"/>
              <w:adjustRightInd w:val="0"/>
              <w:ind w:left="60" w:right="60"/>
              <w:jc w:val="center"/>
              <w:rPr>
                <w:color w:val="000000"/>
              </w:rPr>
            </w:pPr>
            <w:r w:rsidRPr="00162E1D">
              <w:rPr>
                <w:color w:val="000000"/>
              </w:rPr>
              <w:t>Total</w:t>
            </w:r>
          </w:p>
        </w:tc>
        <w:tc>
          <w:tcPr>
            <w:tcW w:w="1411" w:type="dxa"/>
            <w:shd w:val="clear" w:color="auto" w:fill="FFFFFF"/>
            <w:vAlign w:val="center"/>
          </w:tcPr>
          <w:p w14:paraId="78DD5542" w14:textId="77777777" w:rsidR="00B670B1" w:rsidRPr="00162E1D" w:rsidRDefault="00B670B1" w:rsidP="00162E1D">
            <w:pPr>
              <w:autoSpaceDE w:val="0"/>
              <w:autoSpaceDN w:val="0"/>
              <w:adjustRightInd w:val="0"/>
              <w:ind w:left="60" w:right="60"/>
              <w:jc w:val="center"/>
              <w:rPr>
                <w:color w:val="000000"/>
              </w:rPr>
            </w:pPr>
            <w:r w:rsidRPr="00162E1D">
              <w:rPr>
                <w:color w:val="000000"/>
              </w:rPr>
              <w:t>60</w:t>
            </w:r>
          </w:p>
        </w:tc>
        <w:tc>
          <w:tcPr>
            <w:tcW w:w="1260" w:type="dxa"/>
            <w:shd w:val="clear" w:color="auto" w:fill="FFFFFF"/>
            <w:vAlign w:val="center"/>
          </w:tcPr>
          <w:p w14:paraId="5E1CBE6F" w14:textId="77777777" w:rsidR="00B670B1" w:rsidRPr="00162E1D" w:rsidRDefault="00B670B1" w:rsidP="00162E1D">
            <w:pPr>
              <w:autoSpaceDE w:val="0"/>
              <w:autoSpaceDN w:val="0"/>
              <w:adjustRightInd w:val="0"/>
              <w:ind w:left="60" w:right="60"/>
              <w:jc w:val="center"/>
              <w:rPr>
                <w:color w:val="000000"/>
              </w:rPr>
            </w:pPr>
            <w:r w:rsidRPr="00162E1D">
              <w:rPr>
                <w:color w:val="000000"/>
              </w:rPr>
              <w:t>100.0</w:t>
            </w:r>
          </w:p>
        </w:tc>
      </w:tr>
    </w:tbl>
    <w:p w14:paraId="3691F9B4" w14:textId="77777777" w:rsidR="00B670B1" w:rsidRPr="001A721B" w:rsidRDefault="00B670B1" w:rsidP="00162E1D">
      <w:pPr>
        <w:jc w:val="both"/>
        <w:rPr>
          <w:b/>
          <w:sz w:val="24"/>
          <w:szCs w:val="24"/>
          <w:lang w:val="en-GB"/>
        </w:rPr>
      </w:pPr>
    </w:p>
    <w:p w14:paraId="19253D25" w14:textId="2378137C" w:rsidR="00B670B1" w:rsidRPr="001A721B" w:rsidRDefault="00913E57" w:rsidP="00162E1D">
      <w:pPr>
        <w:numPr>
          <w:ilvl w:val="1"/>
          <w:numId w:val="3"/>
        </w:numPr>
        <w:pBdr>
          <w:top w:val="nil"/>
          <w:left w:val="nil"/>
          <w:bottom w:val="nil"/>
          <w:right w:val="nil"/>
          <w:between w:val="nil"/>
        </w:pBdr>
        <w:tabs>
          <w:tab w:val="left" w:pos="1276"/>
        </w:tabs>
        <w:rPr>
          <w:b/>
          <w:color w:val="0070C0"/>
          <w:sz w:val="24"/>
          <w:szCs w:val="24"/>
        </w:rPr>
      </w:pPr>
      <w:r w:rsidRPr="001A721B">
        <w:rPr>
          <w:b/>
          <w:color w:val="0070C0"/>
          <w:sz w:val="24"/>
          <w:szCs w:val="24"/>
        </w:rPr>
        <w:t>Interpretation</w:t>
      </w:r>
    </w:p>
    <w:p w14:paraId="44A7643F" w14:textId="53958970" w:rsidR="00B670B1" w:rsidRDefault="00B670B1" w:rsidP="00162E1D">
      <w:pPr>
        <w:tabs>
          <w:tab w:val="left" w:pos="331"/>
        </w:tabs>
        <w:autoSpaceDE w:val="0"/>
        <w:autoSpaceDN w:val="0"/>
        <w:adjustRightInd w:val="0"/>
        <w:jc w:val="both"/>
        <w:rPr>
          <w:sz w:val="24"/>
          <w:szCs w:val="24"/>
        </w:rPr>
      </w:pPr>
      <w:r w:rsidRPr="001A721B">
        <w:rPr>
          <w:sz w:val="24"/>
          <w:szCs w:val="24"/>
        </w:rPr>
        <w:t>The above table shows that 46(76.7%) of respondents having moderate level of employee satisfaction, 13(21.7%) respondents having high level of employee satisfaction, 1</w:t>
      </w:r>
      <w:r w:rsidR="00913E57" w:rsidRPr="001A721B">
        <w:rPr>
          <w:sz w:val="24"/>
          <w:szCs w:val="24"/>
        </w:rPr>
        <w:t xml:space="preserve"> </w:t>
      </w:r>
      <w:r w:rsidRPr="001A721B">
        <w:rPr>
          <w:sz w:val="24"/>
          <w:szCs w:val="24"/>
        </w:rPr>
        <w:t xml:space="preserve">(1.7%) </w:t>
      </w:r>
      <w:r w:rsidR="00913E57" w:rsidRPr="001A721B">
        <w:rPr>
          <w:sz w:val="24"/>
          <w:szCs w:val="24"/>
        </w:rPr>
        <w:t>respondent</w:t>
      </w:r>
      <w:r w:rsidRPr="001A721B">
        <w:rPr>
          <w:sz w:val="24"/>
          <w:szCs w:val="24"/>
        </w:rPr>
        <w:t xml:space="preserve"> having low level of employee satisfaction. Majority 46(76.7%) of the respondents are moderate.</w:t>
      </w:r>
    </w:p>
    <w:p w14:paraId="2AC672FE" w14:textId="77777777" w:rsidR="00162E1D" w:rsidRPr="001A721B" w:rsidRDefault="00162E1D" w:rsidP="00162E1D">
      <w:pPr>
        <w:tabs>
          <w:tab w:val="left" w:pos="331"/>
        </w:tabs>
        <w:autoSpaceDE w:val="0"/>
        <w:autoSpaceDN w:val="0"/>
        <w:adjustRightInd w:val="0"/>
        <w:jc w:val="both"/>
        <w:rPr>
          <w:sz w:val="24"/>
          <w:szCs w:val="24"/>
        </w:rPr>
      </w:pPr>
    </w:p>
    <w:p w14:paraId="58D85EBE" w14:textId="21317A30" w:rsidR="00B670B1" w:rsidRPr="009779C8" w:rsidRDefault="009779C8" w:rsidP="00162E1D">
      <w:pPr>
        <w:pBdr>
          <w:top w:val="nil"/>
          <w:left w:val="nil"/>
          <w:bottom w:val="nil"/>
          <w:right w:val="nil"/>
          <w:between w:val="nil"/>
        </w:pBdr>
        <w:tabs>
          <w:tab w:val="left" w:pos="1276"/>
        </w:tabs>
        <w:ind w:left="360"/>
        <w:jc w:val="center"/>
        <w:rPr>
          <w:b/>
          <w:color w:val="000000" w:themeColor="text1"/>
          <w:sz w:val="24"/>
          <w:szCs w:val="24"/>
        </w:rPr>
      </w:pPr>
      <w:r w:rsidRPr="009779C8">
        <w:rPr>
          <w:b/>
          <w:color w:val="0070C0"/>
          <w:sz w:val="24"/>
          <w:szCs w:val="24"/>
        </w:rPr>
        <w:t xml:space="preserve">Table 2 </w:t>
      </w:r>
      <w:r w:rsidR="00913E57" w:rsidRPr="009779C8">
        <w:rPr>
          <w:b/>
          <w:color w:val="000000" w:themeColor="text1"/>
          <w:sz w:val="24"/>
          <w:szCs w:val="24"/>
        </w:rPr>
        <w:t>Level of Welfare Facilities</w:t>
      </w:r>
    </w:p>
    <w:tbl>
      <w:tblPr>
        <w:tblW w:w="4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
        <w:gridCol w:w="1780"/>
        <w:gridCol w:w="1180"/>
        <w:gridCol w:w="1575"/>
      </w:tblGrid>
      <w:tr w:rsidR="00B670B1" w:rsidRPr="001A721B" w14:paraId="16BF165F" w14:textId="77777777" w:rsidTr="00162E1D">
        <w:trPr>
          <w:cantSplit/>
          <w:trHeight w:val="4"/>
          <w:jc w:val="center"/>
        </w:trPr>
        <w:tc>
          <w:tcPr>
            <w:tcW w:w="1808" w:type="dxa"/>
            <w:gridSpan w:val="2"/>
            <w:shd w:val="clear" w:color="auto" w:fill="FFFFFF"/>
            <w:vAlign w:val="center"/>
          </w:tcPr>
          <w:p w14:paraId="7FB78140" w14:textId="77777777" w:rsidR="00B670B1" w:rsidRPr="00162E1D" w:rsidRDefault="00B670B1" w:rsidP="00162E1D">
            <w:pPr>
              <w:autoSpaceDE w:val="0"/>
              <w:autoSpaceDN w:val="0"/>
              <w:adjustRightInd w:val="0"/>
              <w:ind w:left="60" w:right="60"/>
              <w:jc w:val="center"/>
              <w:rPr>
                <w:b/>
                <w:color w:val="000000"/>
              </w:rPr>
            </w:pPr>
            <w:r w:rsidRPr="00162E1D">
              <w:rPr>
                <w:b/>
                <w:color w:val="000000"/>
              </w:rPr>
              <w:t>Level of Welfare Facilities</w:t>
            </w:r>
          </w:p>
        </w:tc>
        <w:tc>
          <w:tcPr>
            <w:tcW w:w="1181" w:type="dxa"/>
            <w:shd w:val="clear" w:color="auto" w:fill="FFFFFF"/>
            <w:vAlign w:val="center"/>
          </w:tcPr>
          <w:p w14:paraId="3DE67979" w14:textId="77777777" w:rsidR="00B670B1" w:rsidRPr="00162E1D" w:rsidRDefault="00B670B1" w:rsidP="00162E1D">
            <w:pPr>
              <w:autoSpaceDE w:val="0"/>
              <w:autoSpaceDN w:val="0"/>
              <w:adjustRightInd w:val="0"/>
              <w:ind w:left="60" w:right="60"/>
              <w:jc w:val="center"/>
              <w:rPr>
                <w:b/>
                <w:color w:val="000000"/>
              </w:rPr>
            </w:pPr>
            <w:r w:rsidRPr="00162E1D">
              <w:rPr>
                <w:b/>
                <w:color w:val="000000"/>
              </w:rPr>
              <w:t>Frequency</w:t>
            </w:r>
          </w:p>
        </w:tc>
        <w:tc>
          <w:tcPr>
            <w:tcW w:w="1576" w:type="dxa"/>
            <w:shd w:val="clear" w:color="auto" w:fill="FFFFFF"/>
            <w:vAlign w:val="center"/>
          </w:tcPr>
          <w:p w14:paraId="4DCEEF4C" w14:textId="77777777" w:rsidR="00B670B1" w:rsidRPr="00162E1D" w:rsidRDefault="00B670B1" w:rsidP="00162E1D">
            <w:pPr>
              <w:autoSpaceDE w:val="0"/>
              <w:autoSpaceDN w:val="0"/>
              <w:adjustRightInd w:val="0"/>
              <w:ind w:left="60" w:right="60"/>
              <w:jc w:val="center"/>
              <w:rPr>
                <w:b/>
                <w:color w:val="000000"/>
              </w:rPr>
            </w:pPr>
            <w:r w:rsidRPr="00162E1D">
              <w:rPr>
                <w:b/>
                <w:color w:val="000000"/>
              </w:rPr>
              <w:t>Percentage</w:t>
            </w:r>
          </w:p>
        </w:tc>
      </w:tr>
      <w:tr w:rsidR="00B670B1" w:rsidRPr="001A721B" w14:paraId="750B4913" w14:textId="77777777" w:rsidTr="00162E1D">
        <w:trPr>
          <w:cantSplit/>
          <w:trHeight w:val="44"/>
          <w:jc w:val="center"/>
        </w:trPr>
        <w:tc>
          <w:tcPr>
            <w:tcW w:w="26" w:type="dxa"/>
            <w:vMerge w:val="restart"/>
            <w:shd w:val="clear" w:color="auto" w:fill="FFFFFF"/>
            <w:vAlign w:val="center"/>
          </w:tcPr>
          <w:p w14:paraId="3BC9F33C" w14:textId="77777777" w:rsidR="00B670B1" w:rsidRPr="00162E1D" w:rsidRDefault="00B670B1" w:rsidP="00162E1D">
            <w:pPr>
              <w:autoSpaceDE w:val="0"/>
              <w:autoSpaceDN w:val="0"/>
              <w:adjustRightInd w:val="0"/>
              <w:ind w:right="60"/>
              <w:jc w:val="both"/>
              <w:rPr>
                <w:color w:val="000000"/>
              </w:rPr>
            </w:pPr>
          </w:p>
        </w:tc>
        <w:tc>
          <w:tcPr>
            <w:tcW w:w="1782" w:type="dxa"/>
            <w:shd w:val="clear" w:color="auto" w:fill="FFFFFF"/>
            <w:vAlign w:val="center"/>
          </w:tcPr>
          <w:p w14:paraId="4D850B87" w14:textId="77777777" w:rsidR="00B670B1" w:rsidRPr="00162E1D" w:rsidRDefault="00B670B1" w:rsidP="00162E1D">
            <w:pPr>
              <w:autoSpaceDE w:val="0"/>
              <w:autoSpaceDN w:val="0"/>
              <w:adjustRightInd w:val="0"/>
              <w:ind w:left="60" w:right="60"/>
              <w:jc w:val="center"/>
              <w:rPr>
                <w:color w:val="000000"/>
              </w:rPr>
            </w:pPr>
            <w:r w:rsidRPr="00162E1D">
              <w:rPr>
                <w:color w:val="000000"/>
              </w:rPr>
              <w:t>Low</w:t>
            </w:r>
          </w:p>
        </w:tc>
        <w:tc>
          <w:tcPr>
            <w:tcW w:w="1181" w:type="dxa"/>
            <w:shd w:val="clear" w:color="auto" w:fill="FFFFFF"/>
            <w:vAlign w:val="center"/>
          </w:tcPr>
          <w:p w14:paraId="041825DE" w14:textId="77777777" w:rsidR="00B670B1" w:rsidRPr="00162E1D" w:rsidRDefault="00B670B1" w:rsidP="00162E1D">
            <w:pPr>
              <w:autoSpaceDE w:val="0"/>
              <w:autoSpaceDN w:val="0"/>
              <w:adjustRightInd w:val="0"/>
              <w:ind w:left="60" w:right="60"/>
              <w:jc w:val="center"/>
              <w:rPr>
                <w:color w:val="000000"/>
              </w:rPr>
            </w:pPr>
            <w:r w:rsidRPr="00162E1D">
              <w:rPr>
                <w:color w:val="000000"/>
              </w:rPr>
              <w:t>20</w:t>
            </w:r>
          </w:p>
        </w:tc>
        <w:tc>
          <w:tcPr>
            <w:tcW w:w="1576" w:type="dxa"/>
            <w:shd w:val="clear" w:color="auto" w:fill="FFFFFF"/>
            <w:vAlign w:val="center"/>
          </w:tcPr>
          <w:p w14:paraId="2D7177BD" w14:textId="77777777" w:rsidR="00B670B1" w:rsidRPr="00162E1D" w:rsidRDefault="00B670B1" w:rsidP="00162E1D">
            <w:pPr>
              <w:autoSpaceDE w:val="0"/>
              <w:autoSpaceDN w:val="0"/>
              <w:adjustRightInd w:val="0"/>
              <w:ind w:left="60" w:right="60"/>
              <w:jc w:val="center"/>
              <w:rPr>
                <w:color w:val="000000"/>
              </w:rPr>
            </w:pPr>
            <w:r w:rsidRPr="00162E1D">
              <w:rPr>
                <w:color w:val="000000"/>
              </w:rPr>
              <w:t>33.3</w:t>
            </w:r>
          </w:p>
        </w:tc>
      </w:tr>
      <w:tr w:rsidR="00B670B1" w:rsidRPr="001A721B" w14:paraId="1FC46A3C" w14:textId="77777777" w:rsidTr="00162E1D">
        <w:trPr>
          <w:cantSplit/>
          <w:trHeight w:val="4"/>
          <w:jc w:val="center"/>
        </w:trPr>
        <w:tc>
          <w:tcPr>
            <w:tcW w:w="26" w:type="dxa"/>
            <w:vMerge/>
            <w:shd w:val="clear" w:color="auto" w:fill="FFFFFF"/>
            <w:vAlign w:val="center"/>
          </w:tcPr>
          <w:p w14:paraId="4CFF5FAD" w14:textId="77777777" w:rsidR="00B670B1" w:rsidRPr="00162E1D" w:rsidRDefault="00B670B1" w:rsidP="00162E1D">
            <w:pPr>
              <w:autoSpaceDE w:val="0"/>
              <w:autoSpaceDN w:val="0"/>
              <w:adjustRightInd w:val="0"/>
              <w:jc w:val="both"/>
              <w:rPr>
                <w:color w:val="000000"/>
              </w:rPr>
            </w:pPr>
          </w:p>
        </w:tc>
        <w:tc>
          <w:tcPr>
            <w:tcW w:w="1782" w:type="dxa"/>
            <w:shd w:val="clear" w:color="auto" w:fill="FFFFFF"/>
            <w:vAlign w:val="center"/>
          </w:tcPr>
          <w:p w14:paraId="7C0660C3" w14:textId="77777777" w:rsidR="00B670B1" w:rsidRPr="00162E1D" w:rsidRDefault="00B670B1" w:rsidP="00162E1D">
            <w:pPr>
              <w:autoSpaceDE w:val="0"/>
              <w:autoSpaceDN w:val="0"/>
              <w:adjustRightInd w:val="0"/>
              <w:ind w:left="60" w:right="60"/>
              <w:jc w:val="center"/>
              <w:rPr>
                <w:color w:val="000000"/>
              </w:rPr>
            </w:pPr>
            <w:r w:rsidRPr="00162E1D">
              <w:rPr>
                <w:color w:val="000000"/>
              </w:rPr>
              <w:t>Moderate</w:t>
            </w:r>
          </w:p>
        </w:tc>
        <w:tc>
          <w:tcPr>
            <w:tcW w:w="1181" w:type="dxa"/>
            <w:shd w:val="clear" w:color="auto" w:fill="FFFFFF"/>
            <w:vAlign w:val="center"/>
          </w:tcPr>
          <w:p w14:paraId="1BBB0EC8" w14:textId="77777777" w:rsidR="00B670B1" w:rsidRPr="00162E1D" w:rsidRDefault="00B670B1" w:rsidP="00162E1D">
            <w:pPr>
              <w:autoSpaceDE w:val="0"/>
              <w:autoSpaceDN w:val="0"/>
              <w:adjustRightInd w:val="0"/>
              <w:ind w:left="60" w:right="60"/>
              <w:jc w:val="center"/>
              <w:rPr>
                <w:color w:val="000000"/>
              </w:rPr>
            </w:pPr>
            <w:r w:rsidRPr="00162E1D">
              <w:rPr>
                <w:color w:val="000000"/>
              </w:rPr>
              <w:t>36</w:t>
            </w:r>
          </w:p>
        </w:tc>
        <w:tc>
          <w:tcPr>
            <w:tcW w:w="1576" w:type="dxa"/>
            <w:shd w:val="clear" w:color="auto" w:fill="FFFFFF"/>
            <w:vAlign w:val="center"/>
          </w:tcPr>
          <w:p w14:paraId="7232BE88" w14:textId="77777777" w:rsidR="00B670B1" w:rsidRPr="00162E1D" w:rsidRDefault="00B670B1" w:rsidP="00162E1D">
            <w:pPr>
              <w:autoSpaceDE w:val="0"/>
              <w:autoSpaceDN w:val="0"/>
              <w:adjustRightInd w:val="0"/>
              <w:ind w:left="60" w:right="60"/>
              <w:jc w:val="center"/>
              <w:rPr>
                <w:color w:val="000000"/>
              </w:rPr>
            </w:pPr>
            <w:r w:rsidRPr="00162E1D">
              <w:rPr>
                <w:color w:val="000000"/>
              </w:rPr>
              <w:t>60.0</w:t>
            </w:r>
          </w:p>
        </w:tc>
      </w:tr>
      <w:tr w:rsidR="00B670B1" w:rsidRPr="001A721B" w14:paraId="7D8B44E3" w14:textId="77777777" w:rsidTr="00162E1D">
        <w:trPr>
          <w:cantSplit/>
          <w:trHeight w:val="4"/>
          <w:jc w:val="center"/>
        </w:trPr>
        <w:tc>
          <w:tcPr>
            <w:tcW w:w="26" w:type="dxa"/>
            <w:vMerge/>
            <w:shd w:val="clear" w:color="auto" w:fill="FFFFFF"/>
            <w:vAlign w:val="center"/>
          </w:tcPr>
          <w:p w14:paraId="4D2C38F7" w14:textId="77777777" w:rsidR="00B670B1" w:rsidRPr="00162E1D" w:rsidRDefault="00B670B1" w:rsidP="00162E1D">
            <w:pPr>
              <w:autoSpaceDE w:val="0"/>
              <w:autoSpaceDN w:val="0"/>
              <w:adjustRightInd w:val="0"/>
              <w:jc w:val="both"/>
              <w:rPr>
                <w:color w:val="000000"/>
              </w:rPr>
            </w:pPr>
          </w:p>
        </w:tc>
        <w:tc>
          <w:tcPr>
            <w:tcW w:w="1782" w:type="dxa"/>
            <w:shd w:val="clear" w:color="auto" w:fill="FFFFFF"/>
            <w:vAlign w:val="center"/>
          </w:tcPr>
          <w:p w14:paraId="34924C46" w14:textId="77777777" w:rsidR="00B670B1" w:rsidRPr="00162E1D" w:rsidRDefault="00B670B1" w:rsidP="00162E1D">
            <w:pPr>
              <w:autoSpaceDE w:val="0"/>
              <w:autoSpaceDN w:val="0"/>
              <w:adjustRightInd w:val="0"/>
              <w:ind w:left="60" w:right="60"/>
              <w:jc w:val="center"/>
              <w:rPr>
                <w:color w:val="000000"/>
              </w:rPr>
            </w:pPr>
            <w:r w:rsidRPr="00162E1D">
              <w:rPr>
                <w:color w:val="000000"/>
              </w:rPr>
              <w:t>High</w:t>
            </w:r>
          </w:p>
        </w:tc>
        <w:tc>
          <w:tcPr>
            <w:tcW w:w="1181" w:type="dxa"/>
            <w:shd w:val="clear" w:color="auto" w:fill="FFFFFF"/>
            <w:vAlign w:val="center"/>
          </w:tcPr>
          <w:p w14:paraId="6B84EC86" w14:textId="77777777" w:rsidR="00B670B1" w:rsidRPr="00162E1D" w:rsidRDefault="00B670B1" w:rsidP="00162E1D">
            <w:pPr>
              <w:autoSpaceDE w:val="0"/>
              <w:autoSpaceDN w:val="0"/>
              <w:adjustRightInd w:val="0"/>
              <w:ind w:left="60" w:right="60"/>
              <w:jc w:val="center"/>
              <w:rPr>
                <w:color w:val="000000"/>
              </w:rPr>
            </w:pPr>
            <w:r w:rsidRPr="00162E1D">
              <w:rPr>
                <w:color w:val="000000"/>
              </w:rPr>
              <w:t>4</w:t>
            </w:r>
          </w:p>
        </w:tc>
        <w:tc>
          <w:tcPr>
            <w:tcW w:w="1576" w:type="dxa"/>
            <w:shd w:val="clear" w:color="auto" w:fill="FFFFFF"/>
            <w:vAlign w:val="center"/>
          </w:tcPr>
          <w:p w14:paraId="6572BB60" w14:textId="77777777" w:rsidR="00B670B1" w:rsidRPr="00162E1D" w:rsidRDefault="00B670B1" w:rsidP="00162E1D">
            <w:pPr>
              <w:autoSpaceDE w:val="0"/>
              <w:autoSpaceDN w:val="0"/>
              <w:adjustRightInd w:val="0"/>
              <w:ind w:left="60" w:right="60"/>
              <w:jc w:val="center"/>
              <w:rPr>
                <w:color w:val="000000"/>
              </w:rPr>
            </w:pPr>
            <w:r w:rsidRPr="00162E1D">
              <w:rPr>
                <w:color w:val="000000"/>
              </w:rPr>
              <w:t>6.7</w:t>
            </w:r>
          </w:p>
        </w:tc>
      </w:tr>
      <w:tr w:rsidR="00B670B1" w:rsidRPr="001A721B" w14:paraId="05804279" w14:textId="77777777" w:rsidTr="00162E1D">
        <w:trPr>
          <w:cantSplit/>
          <w:trHeight w:val="46"/>
          <w:jc w:val="center"/>
        </w:trPr>
        <w:tc>
          <w:tcPr>
            <w:tcW w:w="26" w:type="dxa"/>
            <w:vMerge/>
            <w:shd w:val="clear" w:color="auto" w:fill="FFFFFF"/>
            <w:vAlign w:val="center"/>
          </w:tcPr>
          <w:p w14:paraId="62DEB1B2" w14:textId="77777777" w:rsidR="00B670B1" w:rsidRPr="00162E1D" w:rsidRDefault="00B670B1" w:rsidP="00162E1D">
            <w:pPr>
              <w:autoSpaceDE w:val="0"/>
              <w:autoSpaceDN w:val="0"/>
              <w:adjustRightInd w:val="0"/>
              <w:jc w:val="both"/>
              <w:rPr>
                <w:color w:val="000000"/>
              </w:rPr>
            </w:pPr>
          </w:p>
        </w:tc>
        <w:tc>
          <w:tcPr>
            <w:tcW w:w="1782" w:type="dxa"/>
            <w:shd w:val="clear" w:color="auto" w:fill="FFFFFF"/>
            <w:vAlign w:val="center"/>
          </w:tcPr>
          <w:p w14:paraId="1453F5F9" w14:textId="77777777" w:rsidR="00B670B1" w:rsidRPr="00162E1D" w:rsidRDefault="00B670B1" w:rsidP="00162E1D">
            <w:pPr>
              <w:autoSpaceDE w:val="0"/>
              <w:autoSpaceDN w:val="0"/>
              <w:adjustRightInd w:val="0"/>
              <w:ind w:left="60" w:right="60"/>
              <w:jc w:val="center"/>
              <w:rPr>
                <w:color w:val="000000"/>
              </w:rPr>
            </w:pPr>
            <w:r w:rsidRPr="00162E1D">
              <w:rPr>
                <w:color w:val="000000"/>
              </w:rPr>
              <w:t>Total</w:t>
            </w:r>
          </w:p>
        </w:tc>
        <w:tc>
          <w:tcPr>
            <w:tcW w:w="1181" w:type="dxa"/>
            <w:shd w:val="clear" w:color="auto" w:fill="FFFFFF"/>
            <w:vAlign w:val="center"/>
          </w:tcPr>
          <w:p w14:paraId="7410120B" w14:textId="77777777" w:rsidR="00B670B1" w:rsidRPr="00162E1D" w:rsidRDefault="00B670B1" w:rsidP="00162E1D">
            <w:pPr>
              <w:autoSpaceDE w:val="0"/>
              <w:autoSpaceDN w:val="0"/>
              <w:adjustRightInd w:val="0"/>
              <w:ind w:left="60" w:right="60"/>
              <w:jc w:val="center"/>
              <w:rPr>
                <w:color w:val="000000"/>
              </w:rPr>
            </w:pPr>
            <w:r w:rsidRPr="00162E1D">
              <w:rPr>
                <w:color w:val="000000"/>
              </w:rPr>
              <w:t>60</w:t>
            </w:r>
          </w:p>
        </w:tc>
        <w:tc>
          <w:tcPr>
            <w:tcW w:w="1576" w:type="dxa"/>
            <w:shd w:val="clear" w:color="auto" w:fill="FFFFFF"/>
            <w:vAlign w:val="center"/>
          </w:tcPr>
          <w:p w14:paraId="27911FDE" w14:textId="77777777" w:rsidR="00B670B1" w:rsidRPr="00162E1D" w:rsidRDefault="00B670B1" w:rsidP="00162E1D">
            <w:pPr>
              <w:autoSpaceDE w:val="0"/>
              <w:autoSpaceDN w:val="0"/>
              <w:adjustRightInd w:val="0"/>
              <w:ind w:left="60" w:right="60"/>
              <w:jc w:val="center"/>
              <w:rPr>
                <w:color w:val="000000"/>
              </w:rPr>
            </w:pPr>
            <w:r w:rsidRPr="00162E1D">
              <w:rPr>
                <w:color w:val="000000"/>
              </w:rPr>
              <w:t>100.0</w:t>
            </w:r>
          </w:p>
        </w:tc>
      </w:tr>
    </w:tbl>
    <w:p w14:paraId="4A644C59" w14:textId="04D1BD0A" w:rsidR="00913E57" w:rsidRPr="001A721B" w:rsidRDefault="00913E57" w:rsidP="005F0958">
      <w:pPr>
        <w:numPr>
          <w:ilvl w:val="1"/>
          <w:numId w:val="3"/>
        </w:numPr>
        <w:pBdr>
          <w:top w:val="nil"/>
          <w:left w:val="nil"/>
          <w:bottom w:val="nil"/>
          <w:right w:val="nil"/>
          <w:between w:val="nil"/>
        </w:pBdr>
        <w:tabs>
          <w:tab w:val="left" w:pos="1276"/>
        </w:tabs>
        <w:rPr>
          <w:b/>
          <w:color w:val="0070C0"/>
          <w:sz w:val="24"/>
          <w:szCs w:val="24"/>
        </w:rPr>
      </w:pPr>
      <w:r w:rsidRPr="001A721B">
        <w:rPr>
          <w:b/>
          <w:color w:val="0070C0"/>
          <w:sz w:val="24"/>
          <w:szCs w:val="24"/>
        </w:rPr>
        <w:t>I</w:t>
      </w:r>
      <w:r w:rsidRPr="005F0958">
        <w:rPr>
          <w:b/>
          <w:color w:val="0070C0"/>
          <w:sz w:val="24"/>
          <w:szCs w:val="24"/>
        </w:rPr>
        <w:t>nterpretation</w:t>
      </w:r>
    </w:p>
    <w:p w14:paraId="4D69E320" w14:textId="2E189E09" w:rsidR="00B670B1" w:rsidRPr="001A721B" w:rsidRDefault="00B670B1" w:rsidP="001A721B">
      <w:pPr>
        <w:tabs>
          <w:tab w:val="left" w:pos="331"/>
        </w:tabs>
        <w:autoSpaceDE w:val="0"/>
        <w:autoSpaceDN w:val="0"/>
        <w:adjustRightInd w:val="0"/>
        <w:jc w:val="both"/>
        <w:rPr>
          <w:sz w:val="24"/>
          <w:szCs w:val="24"/>
        </w:rPr>
      </w:pPr>
      <w:r w:rsidRPr="001A721B">
        <w:rPr>
          <w:sz w:val="24"/>
          <w:szCs w:val="24"/>
        </w:rPr>
        <w:t>The above table shows that 36(60.0%)</w:t>
      </w:r>
      <w:r w:rsidR="00913E57" w:rsidRPr="001A721B">
        <w:rPr>
          <w:sz w:val="24"/>
          <w:szCs w:val="24"/>
        </w:rPr>
        <w:t xml:space="preserve"> </w:t>
      </w:r>
      <w:r w:rsidRPr="001A721B">
        <w:rPr>
          <w:sz w:val="24"/>
          <w:szCs w:val="24"/>
        </w:rPr>
        <w:t>of respondents having moderate level of welfare facilities, 20(33.3%) respondents having low level of welfare facilities and 4(6.7%) having high level of welfare facilities. Majority 36 (60.0%) of the respondents are moderate.</w:t>
      </w:r>
    </w:p>
    <w:p w14:paraId="271EE270" w14:textId="18C92BC5" w:rsidR="008B0879" w:rsidRPr="001A721B" w:rsidRDefault="005F0958" w:rsidP="001A721B">
      <w:pPr>
        <w:numPr>
          <w:ilvl w:val="0"/>
          <w:numId w:val="3"/>
        </w:numPr>
        <w:pBdr>
          <w:top w:val="nil"/>
          <w:left w:val="nil"/>
          <w:bottom w:val="nil"/>
          <w:right w:val="nil"/>
          <w:between w:val="nil"/>
        </w:pBdr>
        <w:tabs>
          <w:tab w:val="left" w:pos="1276"/>
        </w:tabs>
        <w:ind w:left="426"/>
        <w:rPr>
          <w:b/>
          <w:color w:val="0070C0"/>
          <w:sz w:val="24"/>
          <w:szCs w:val="24"/>
        </w:rPr>
      </w:pPr>
      <w:r w:rsidRPr="001A721B">
        <w:rPr>
          <w:b/>
          <w:color w:val="0070C0"/>
          <w:sz w:val="24"/>
          <w:szCs w:val="24"/>
        </w:rPr>
        <w:t>Results and Discussion</w:t>
      </w:r>
    </w:p>
    <w:p w14:paraId="66E19C28" w14:textId="4DCFA842" w:rsidR="008B0879" w:rsidRPr="001A721B" w:rsidRDefault="00F71114" w:rsidP="001A721B">
      <w:pPr>
        <w:numPr>
          <w:ilvl w:val="1"/>
          <w:numId w:val="3"/>
        </w:numPr>
        <w:pBdr>
          <w:top w:val="nil"/>
          <w:left w:val="nil"/>
          <w:bottom w:val="nil"/>
          <w:right w:val="nil"/>
          <w:between w:val="nil"/>
        </w:pBdr>
        <w:tabs>
          <w:tab w:val="left" w:pos="1276"/>
        </w:tabs>
        <w:rPr>
          <w:b/>
          <w:color w:val="0070C0"/>
          <w:sz w:val="24"/>
          <w:szCs w:val="24"/>
        </w:rPr>
      </w:pPr>
      <w:r w:rsidRPr="001A721B">
        <w:rPr>
          <w:b/>
          <w:color w:val="0070C0"/>
          <w:sz w:val="24"/>
          <w:szCs w:val="24"/>
        </w:rPr>
        <w:t>Results</w:t>
      </w:r>
    </w:p>
    <w:p w14:paraId="61A63D5E" w14:textId="726207FD" w:rsidR="00B670B1" w:rsidRPr="001A721B" w:rsidRDefault="00B670B1" w:rsidP="001A721B">
      <w:pPr>
        <w:pBdr>
          <w:top w:val="nil"/>
          <w:left w:val="nil"/>
          <w:bottom w:val="nil"/>
          <w:right w:val="nil"/>
          <w:between w:val="nil"/>
        </w:pBdr>
        <w:tabs>
          <w:tab w:val="left" w:pos="567"/>
          <w:tab w:val="left" w:pos="1276"/>
        </w:tabs>
        <w:jc w:val="both"/>
        <w:rPr>
          <w:sz w:val="24"/>
          <w:szCs w:val="24"/>
        </w:rPr>
      </w:pPr>
      <w:r w:rsidRPr="001A721B">
        <w:rPr>
          <w:sz w:val="24"/>
          <w:szCs w:val="24"/>
        </w:rPr>
        <w:t>Majority of the respondents 44 (73.3%) were in the age group of 31-40 years. Majority of the respondents 46 (76.7%) are males. Majority of the respondents 30(50.0%) were educated up to degree. Majority of the respondents 23(38.3%) were having the annual income of 200001-300000.Majority of the respondents 26(43.3%) were having the designation others. Majority of the respondents 15(25.0%) were in the department of production. Majority of the respondents 39(65.0%) were having the experience of 6 to 10 years. Majority of the respondents 30(50%) were in rural and urban area. Majority 46 (76.7%) of respondents having moderate level of employee satisfaction. Majority 36(60.0%) of respondents having moderate level of welfare facilities. Majority 31(51.7%) of respondents having moderate level of impact. There is relationship between the education and impact of employee satisfaction on welfare facilities. There is no relationship between the designation and impact of employee satisfaction on welfare facilities. There is no relationship between the years of experience and impact of employee satisfaction on welfare facilities.</w:t>
      </w:r>
    </w:p>
    <w:p w14:paraId="7A278D1A" w14:textId="427E4CA3" w:rsidR="008B0879" w:rsidRPr="001A721B" w:rsidRDefault="00B670B1" w:rsidP="001A721B">
      <w:pPr>
        <w:pBdr>
          <w:top w:val="nil"/>
          <w:left w:val="nil"/>
          <w:bottom w:val="nil"/>
          <w:right w:val="nil"/>
          <w:between w:val="nil"/>
        </w:pBdr>
        <w:tabs>
          <w:tab w:val="left" w:pos="1276"/>
        </w:tabs>
        <w:rPr>
          <w:b/>
          <w:color w:val="0070C0"/>
          <w:sz w:val="24"/>
          <w:szCs w:val="24"/>
        </w:rPr>
      </w:pPr>
      <w:r w:rsidRPr="001A721B">
        <w:rPr>
          <w:b/>
          <w:color w:val="0070C0"/>
          <w:sz w:val="24"/>
          <w:szCs w:val="24"/>
        </w:rPr>
        <w:t>4.2. Discussion</w:t>
      </w:r>
    </w:p>
    <w:p w14:paraId="65BD98CC" w14:textId="35D979FC" w:rsidR="008B0879" w:rsidRPr="001A721B" w:rsidRDefault="00B670B1" w:rsidP="001A721B">
      <w:pPr>
        <w:tabs>
          <w:tab w:val="left" w:pos="567"/>
          <w:tab w:val="left" w:pos="1276"/>
        </w:tabs>
        <w:jc w:val="both"/>
        <w:rPr>
          <w:color w:val="000000"/>
          <w:sz w:val="24"/>
          <w:szCs w:val="24"/>
        </w:rPr>
      </w:pPr>
      <w:r w:rsidRPr="001A721B">
        <w:rPr>
          <w:sz w:val="24"/>
          <w:szCs w:val="24"/>
        </w:rPr>
        <w:t xml:space="preserve">Implement periodic surveys or feedback mechanisms to assess employee satisfaction with existing welfare facilities, including healthcare, childcare, fitness facilities, and flexible work arrangements. Compare your organization's welfare facilities with industry standards and best practices to identify areas for improvement and ensure alignment with employee needs and expectations. Provide a diverse range of welfare facilities that cater to the diverse needs and preferences of employees, such as remote work options, various healthcare plans, and flexible scheduling. Ensure that employees are aware of the welfare facilities available to them and how to access </w:t>
      </w:r>
      <w:r w:rsidRPr="001A721B">
        <w:rPr>
          <w:sz w:val="24"/>
          <w:szCs w:val="24"/>
        </w:rPr>
        <w:lastRenderedPageBreak/>
        <w:t>them. Use channels like company newsletters, intranet portals, and employee orientation sessions to communicate information effectively. Foster a culture of continuous improvement by regularly reviewing and updating welfare facilities based on employee feedback and changing needs. Demonstrate a commitment to employee well-being and satisfaction through proactive adjustments and enhancements.</w:t>
      </w:r>
    </w:p>
    <w:p w14:paraId="359BA646" w14:textId="00328A80" w:rsidR="008B0879" w:rsidRPr="001A721B" w:rsidRDefault="005F0958" w:rsidP="005F0958">
      <w:pPr>
        <w:pBdr>
          <w:top w:val="nil"/>
          <w:left w:val="nil"/>
          <w:bottom w:val="nil"/>
          <w:right w:val="nil"/>
          <w:between w:val="nil"/>
        </w:pBdr>
        <w:tabs>
          <w:tab w:val="left" w:pos="1276"/>
        </w:tabs>
        <w:ind w:left="426" w:hanging="426"/>
        <w:rPr>
          <w:b/>
          <w:color w:val="0070C0"/>
          <w:sz w:val="24"/>
          <w:szCs w:val="24"/>
        </w:rPr>
      </w:pPr>
      <w:r w:rsidRPr="001A721B">
        <w:rPr>
          <w:b/>
          <w:color w:val="0070C0"/>
          <w:sz w:val="24"/>
          <w:szCs w:val="24"/>
        </w:rPr>
        <w:t xml:space="preserve">Conclusion </w:t>
      </w:r>
    </w:p>
    <w:p w14:paraId="70717B7C" w14:textId="732982CC" w:rsidR="00B670B1" w:rsidRPr="001A721B" w:rsidRDefault="00B670B1" w:rsidP="001A721B">
      <w:pPr>
        <w:tabs>
          <w:tab w:val="left" w:pos="567"/>
          <w:tab w:val="left" w:pos="1276"/>
        </w:tabs>
        <w:jc w:val="both"/>
        <w:rPr>
          <w:sz w:val="24"/>
          <w:szCs w:val="24"/>
        </w:rPr>
      </w:pPr>
      <w:r w:rsidRPr="001A721B">
        <w:rPr>
          <w:sz w:val="24"/>
          <w:szCs w:val="24"/>
        </w:rPr>
        <w:t>The analysis of employee satisfaction with welfare facilities at Kerala Minerals and Metals Limited (KMML) highlights the significant role these amenities play in enhancing employee morale, productivity, and loyalty. Providing facilities such as healthcare, housing, education, and recreational activities contributes to overall employee well-being. However, continuous evaluation and improvement of these offerings are crucial for maintaining satisfaction and organizational success. Gathering employee feedback can provide valuable insights for refining welfare programs to better align with their needs. Ultimately, prioritizing employee welfare facilities is a strategic investment that fosters a positive work environment and drives organizational success.</w:t>
      </w:r>
    </w:p>
    <w:p w14:paraId="10B60187" w14:textId="347ECBE2" w:rsidR="008B0879" w:rsidRPr="001A721B" w:rsidRDefault="009779C8" w:rsidP="001A721B">
      <w:pPr>
        <w:tabs>
          <w:tab w:val="left" w:pos="1276"/>
        </w:tabs>
        <w:jc w:val="both"/>
        <w:rPr>
          <w:b/>
          <w:color w:val="0070C0"/>
          <w:sz w:val="24"/>
          <w:szCs w:val="24"/>
        </w:rPr>
      </w:pPr>
      <w:r w:rsidRPr="001A721B">
        <w:rPr>
          <w:b/>
          <w:color w:val="0070C0"/>
          <w:sz w:val="24"/>
          <w:szCs w:val="24"/>
        </w:rPr>
        <w:t xml:space="preserve">References </w:t>
      </w:r>
    </w:p>
    <w:p w14:paraId="3C330E27" w14:textId="46083881" w:rsidR="00B670B1" w:rsidRPr="005F0958" w:rsidRDefault="00B670B1" w:rsidP="005F0958">
      <w:pPr>
        <w:pStyle w:val="ListParagraph"/>
        <w:numPr>
          <w:ilvl w:val="0"/>
          <w:numId w:val="8"/>
        </w:numPr>
        <w:tabs>
          <w:tab w:val="left" w:pos="1276"/>
        </w:tabs>
        <w:jc w:val="both"/>
        <w:rPr>
          <w:sz w:val="24"/>
          <w:szCs w:val="24"/>
        </w:rPr>
      </w:pPr>
      <w:r w:rsidRPr="005F0958">
        <w:rPr>
          <w:sz w:val="24"/>
          <w:szCs w:val="24"/>
        </w:rPr>
        <w:t xml:space="preserve">Anderson, L. (2021). Employee Satisfaction and Welfare Facilities: A Comparative Analysis. </w:t>
      </w:r>
      <w:r w:rsidRPr="005F0958">
        <w:rPr>
          <w:iCs/>
          <w:sz w:val="24"/>
          <w:szCs w:val="24"/>
        </w:rPr>
        <w:t>Journal of Workplace Studies</w:t>
      </w:r>
      <w:r w:rsidRPr="005F0958">
        <w:rPr>
          <w:sz w:val="24"/>
          <w:szCs w:val="24"/>
        </w:rPr>
        <w:t>, 8(2), 112-125.</w:t>
      </w:r>
    </w:p>
    <w:p w14:paraId="0DB2BB6C" w14:textId="407EC8AA" w:rsidR="00B670B1" w:rsidRPr="005F0958" w:rsidRDefault="00B670B1" w:rsidP="005F0958">
      <w:pPr>
        <w:pStyle w:val="ListParagraph"/>
        <w:numPr>
          <w:ilvl w:val="0"/>
          <w:numId w:val="8"/>
        </w:numPr>
        <w:tabs>
          <w:tab w:val="left" w:pos="1276"/>
        </w:tabs>
        <w:jc w:val="both"/>
        <w:rPr>
          <w:sz w:val="24"/>
          <w:szCs w:val="24"/>
        </w:rPr>
      </w:pPr>
      <w:r w:rsidRPr="005F0958">
        <w:rPr>
          <w:sz w:val="24"/>
          <w:szCs w:val="24"/>
        </w:rPr>
        <w:t>Adams, R. (2023). Employee Satisfaction on Welfare Facilities: A Comprehensive Review of the Literature. Journal of Organizational Behavior, 29(2), 176-192.</w:t>
      </w:r>
    </w:p>
    <w:p w14:paraId="1CCCDC21" w14:textId="1DD439CC" w:rsidR="00B670B1" w:rsidRPr="005F0958" w:rsidRDefault="00B670B1" w:rsidP="005F0958">
      <w:pPr>
        <w:pStyle w:val="ListParagraph"/>
        <w:numPr>
          <w:ilvl w:val="0"/>
          <w:numId w:val="8"/>
        </w:numPr>
        <w:tabs>
          <w:tab w:val="left" w:pos="1276"/>
        </w:tabs>
        <w:jc w:val="both"/>
        <w:rPr>
          <w:sz w:val="24"/>
          <w:szCs w:val="24"/>
        </w:rPr>
      </w:pPr>
      <w:r w:rsidRPr="005F0958">
        <w:rPr>
          <w:sz w:val="24"/>
          <w:szCs w:val="24"/>
        </w:rPr>
        <w:t>Brown, K. (2022). Enhancing Employee Satisfaction: A Focus on Welfare Facilities. Journal of Human Resource Management, 15(3), 45-60.</w:t>
      </w:r>
    </w:p>
    <w:p w14:paraId="15FDBFC4" w14:textId="09AEFD0F" w:rsidR="008B0879" w:rsidRPr="005F0958" w:rsidRDefault="00B670B1" w:rsidP="005F0958">
      <w:pPr>
        <w:pStyle w:val="ListParagraph"/>
        <w:numPr>
          <w:ilvl w:val="0"/>
          <w:numId w:val="8"/>
        </w:numPr>
        <w:tabs>
          <w:tab w:val="left" w:pos="1276"/>
        </w:tabs>
        <w:jc w:val="both"/>
        <w:rPr>
          <w:sz w:val="24"/>
          <w:szCs w:val="24"/>
        </w:rPr>
      </w:pPr>
      <w:r w:rsidRPr="005F0958">
        <w:rPr>
          <w:sz w:val="24"/>
          <w:szCs w:val="24"/>
        </w:rPr>
        <w:t>Chen, H., &amp; Wang, L. (2021). The Role of Welfare Facilities in Enhancing Employee Satisfaction: A Cross-sectional Study. Journal of Occupational Health Psychology, 19(2), 205-220.</w:t>
      </w:r>
    </w:p>
    <w:p w14:paraId="19BB61D8" w14:textId="77777777" w:rsidR="008B0879" w:rsidRDefault="008B0879">
      <w:pPr>
        <w:tabs>
          <w:tab w:val="left" w:pos="1276"/>
        </w:tabs>
        <w:jc w:val="both"/>
        <w:rPr>
          <w:sz w:val="24"/>
          <w:szCs w:val="24"/>
        </w:rPr>
      </w:pPr>
    </w:p>
    <w:p w14:paraId="44A54D39" w14:textId="77777777" w:rsidR="008B0879" w:rsidRDefault="008B0879">
      <w:pPr>
        <w:tabs>
          <w:tab w:val="left" w:pos="1276"/>
        </w:tabs>
        <w:rPr>
          <w:sz w:val="24"/>
          <w:szCs w:val="24"/>
        </w:rPr>
      </w:pPr>
    </w:p>
    <w:sectPr w:rsidR="008B0879">
      <w:type w:val="continuous"/>
      <w:pgSz w:w="11910" w:h="16840"/>
      <w:pgMar w:top="567" w:right="709" w:bottom="567" w:left="709" w:header="709" w:footer="567" w:gutter="0"/>
      <w:cols w:num="2" w:space="720" w:equalWidth="0">
        <w:col w:w="5083" w:space="325"/>
        <w:col w:w="5083"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F5FDB" w14:textId="77777777" w:rsidR="00DD3075" w:rsidRDefault="00DD3075">
      <w:r>
        <w:separator/>
      </w:r>
    </w:p>
  </w:endnote>
  <w:endnote w:type="continuationSeparator" w:id="0">
    <w:p w14:paraId="630364D8" w14:textId="77777777" w:rsidR="00DD3075" w:rsidRDefault="00DD3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88" w:type="pct"/>
      <w:jc w:val="center"/>
      <w:tblCellMar>
        <w:top w:w="144" w:type="dxa"/>
        <w:left w:w="115" w:type="dxa"/>
        <w:bottom w:w="144" w:type="dxa"/>
        <w:right w:w="115" w:type="dxa"/>
      </w:tblCellMar>
      <w:tblLook w:val="04A0" w:firstRow="1" w:lastRow="0" w:firstColumn="1" w:lastColumn="0" w:noHBand="0" w:noVBand="1"/>
    </w:tblPr>
    <w:tblGrid>
      <w:gridCol w:w="5361"/>
      <w:gridCol w:w="5316"/>
    </w:tblGrid>
    <w:tr w:rsidR="001A721B" w14:paraId="63C174CE" w14:textId="77777777" w:rsidTr="004A0C13">
      <w:trPr>
        <w:trHeight w:hRule="exact" w:val="174"/>
        <w:jc w:val="center"/>
      </w:trPr>
      <w:tc>
        <w:tcPr>
          <w:tcW w:w="5410" w:type="dxa"/>
          <w:shd w:val="clear" w:color="auto" w:fill="4F81BD" w:themeFill="accent1"/>
          <w:tcMar>
            <w:top w:w="0" w:type="dxa"/>
            <w:left w:w="115" w:type="dxa"/>
            <w:bottom w:w="0" w:type="dxa"/>
            <w:right w:w="115" w:type="dxa"/>
          </w:tcMar>
          <w:hideMark/>
        </w:tcPr>
        <w:p w14:paraId="579E608E" w14:textId="77777777" w:rsidR="001A721B" w:rsidRDefault="001A721B" w:rsidP="001A721B">
          <w:pPr>
            <w:pStyle w:val="Header"/>
            <w:tabs>
              <w:tab w:val="left" w:pos="2076"/>
            </w:tabs>
            <w:rPr>
              <w:caps/>
              <w:sz w:val="18"/>
            </w:rPr>
          </w:pPr>
          <w:r>
            <w:rPr>
              <w:caps/>
              <w:sz w:val="18"/>
            </w:rPr>
            <w:tab/>
          </w:r>
        </w:p>
      </w:tc>
      <w:tc>
        <w:tcPr>
          <w:tcW w:w="5396" w:type="dxa"/>
          <w:shd w:val="clear" w:color="auto" w:fill="4F81BD" w:themeFill="accent1"/>
          <w:tcMar>
            <w:top w:w="0" w:type="dxa"/>
            <w:left w:w="115" w:type="dxa"/>
            <w:bottom w:w="0" w:type="dxa"/>
            <w:right w:w="115" w:type="dxa"/>
          </w:tcMar>
        </w:tcPr>
        <w:p w14:paraId="71EB1CEC" w14:textId="77777777" w:rsidR="001A721B" w:rsidRDefault="001A721B" w:rsidP="001A721B">
          <w:pPr>
            <w:pStyle w:val="Header"/>
            <w:jc w:val="right"/>
            <w:rPr>
              <w:caps/>
              <w:sz w:val="18"/>
            </w:rPr>
          </w:pPr>
        </w:p>
      </w:tc>
    </w:tr>
    <w:tr w:rsidR="001A721B" w14:paraId="39BE7E00" w14:textId="77777777" w:rsidTr="004A0C13">
      <w:trPr>
        <w:trHeight w:val="384"/>
        <w:jc w:val="center"/>
      </w:trPr>
      <w:tc>
        <w:tcPr>
          <w:tcW w:w="5410" w:type="dxa"/>
          <w:vAlign w:val="center"/>
          <w:hideMark/>
        </w:tcPr>
        <w:p w14:paraId="0FAAF268" w14:textId="77777777" w:rsidR="001A721B" w:rsidRDefault="001A721B" w:rsidP="001A721B">
          <w:pPr>
            <w:pStyle w:val="Footer"/>
            <w:rPr>
              <w:caps/>
              <w:color w:val="808080" w:themeColor="background1" w:themeShade="80"/>
              <w:sz w:val="18"/>
              <w:szCs w:val="18"/>
            </w:rPr>
          </w:pPr>
          <w:r>
            <w:rPr>
              <w:noProof/>
            </w:rPr>
            <w:drawing>
              <wp:anchor distT="0" distB="0" distL="114300" distR="114300" simplePos="0" relativeHeight="251659264" behindDoc="0" locked="0" layoutInCell="1" allowOverlap="1" wp14:anchorId="5BF48DC8" wp14:editId="4FF00BF2">
                <wp:simplePos x="0" y="0"/>
                <wp:positionH relativeFrom="column">
                  <wp:posOffset>-28575</wp:posOffset>
                </wp:positionH>
                <wp:positionV relativeFrom="paragraph">
                  <wp:posOffset>-45720</wp:posOffset>
                </wp:positionV>
                <wp:extent cx="600075" cy="2159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1284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215900"/>
                        </a:xfrm>
                        <a:prstGeom prst="rect">
                          <a:avLst/>
                        </a:prstGeom>
                        <a:noFill/>
                      </pic:spPr>
                    </pic:pic>
                  </a:graphicData>
                </a:graphic>
                <wp14:sizeRelH relativeFrom="margin">
                  <wp14:pctWidth>0</wp14:pctWidth>
                </wp14:sizeRelH>
                <wp14:sizeRelV relativeFrom="margin">
                  <wp14:pctHeight>0</wp14:pctHeight>
                </wp14:sizeRelV>
              </wp:anchor>
            </w:drawing>
          </w:r>
          <w:r>
            <w:rPr>
              <w:caps/>
              <w:color w:val="808080" w:themeColor="background1" w:themeShade="80"/>
              <w:sz w:val="18"/>
              <w:szCs w:val="18"/>
            </w:rPr>
            <w:t xml:space="preserve">                        IRJAEM</w:t>
          </w:r>
        </w:p>
      </w:tc>
      <w:tc>
        <w:tcPr>
          <w:tcW w:w="5396" w:type="dxa"/>
          <w:vAlign w:val="center"/>
          <w:hideMark/>
        </w:tcPr>
        <w:p w14:paraId="2C224504" w14:textId="77777777" w:rsidR="001A721B" w:rsidRDefault="001A721B" w:rsidP="001A721B">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3243</w:t>
          </w:r>
          <w:r>
            <w:rPr>
              <w:caps/>
              <w:noProof/>
              <w:color w:val="808080" w:themeColor="background1" w:themeShade="80"/>
              <w:sz w:val="18"/>
              <w:szCs w:val="18"/>
            </w:rPr>
            <w:fldChar w:fldCharType="end"/>
          </w:r>
        </w:p>
      </w:tc>
    </w:tr>
  </w:tbl>
  <w:p w14:paraId="49F868AE" w14:textId="77777777" w:rsidR="008B0879" w:rsidRDefault="008B0879">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3D8BE" w14:textId="77777777" w:rsidR="00DD3075" w:rsidRDefault="00DD3075">
      <w:r>
        <w:separator/>
      </w:r>
    </w:p>
  </w:footnote>
  <w:footnote w:type="continuationSeparator" w:id="0">
    <w:p w14:paraId="72702128" w14:textId="77777777" w:rsidR="00DD3075" w:rsidRDefault="00DD3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CE54F" w14:textId="77777777" w:rsidR="008B0879" w:rsidRDefault="00DD3075">
    <w:pPr>
      <w:pBdr>
        <w:top w:val="nil"/>
        <w:left w:val="nil"/>
        <w:bottom w:val="nil"/>
        <w:right w:val="nil"/>
        <w:between w:val="nil"/>
      </w:pBdr>
      <w:tabs>
        <w:tab w:val="center" w:pos="4513"/>
        <w:tab w:val="right" w:pos="9026"/>
      </w:tabs>
      <w:rPr>
        <w:b/>
        <w:color w:val="000000"/>
        <w:sz w:val="20"/>
        <w:szCs w:val="20"/>
      </w:rPr>
    </w:pPr>
    <w:hyperlink r:id="rId1">
      <w:r w:rsidR="00F71114">
        <w:rPr>
          <w:b/>
          <w:color w:val="0000FF"/>
          <w:sz w:val="20"/>
          <w:szCs w:val="20"/>
          <w:u w:val="single"/>
        </w:rPr>
        <w:t>www.irjasm.com</w:t>
      </w:r>
    </w:hyperlink>
    <w:r w:rsidR="00F71114">
      <w:rPr>
        <w:b/>
        <w:color w:val="000000"/>
        <w:sz w:val="20"/>
        <w:szCs w:val="20"/>
      </w:rPr>
      <w:t xml:space="preserve">                                                   Volume:01 Issue 01 November 2023                                 e-ISSN:XXXX-XXXX</w:t>
    </w:r>
  </w:p>
  <w:p w14:paraId="20F5BBA0" w14:textId="77777777" w:rsidR="008B0879" w:rsidRDefault="008B0879">
    <w:pPr>
      <w:pBdr>
        <w:top w:val="nil"/>
        <w:left w:val="nil"/>
        <w:bottom w:val="nil"/>
        <w:right w:val="nil"/>
        <w:between w:val="nil"/>
      </w:pBdr>
      <w:tabs>
        <w:tab w:val="center" w:pos="4513"/>
        <w:tab w:val="right" w:pos="9026"/>
      </w:tabs>
      <w:jc w:val="both"/>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6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446"/>
      <w:gridCol w:w="2357"/>
    </w:tblGrid>
    <w:tr w:rsidR="001A721B" w:rsidRPr="00C90895" w14:paraId="23D1B23D" w14:textId="77777777" w:rsidTr="004A0C13">
      <w:trPr>
        <w:trHeight w:val="999"/>
        <w:jc w:val="center"/>
      </w:trPr>
      <w:tc>
        <w:tcPr>
          <w:tcW w:w="1843" w:type="dxa"/>
          <w:hideMark/>
        </w:tcPr>
        <w:p w14:paraId="3485B105" w14:textId="77777777" w:rsidR="001A721B" w:rsidRPr="00C90895" w:rsidRDefault="001A721B" w:rsidP="001A721B">
          <w:pPr>
            <w:pStyle w:val="Header"/>
            <w:ind w:left="29"/>
            <w:rPr>
              <w:rFonts w:ascii="Times New Roman" w:hAnsi="Times New Roman" w:cs="Times New Roman"/>
              <w:noProof/>
              <w:sz w:val="24"/>
              <w:szCs w:val="24"/>
              <w:lang w:bidi="te-IN"/>
            </w:rPr>
          </w:pPr>
          <w:r w:rsidRPr="00C90895">
            <w:rPr>
              <w:noProof/>
            </w:rPr>
            <w:drawing>
              <wp:inline distT="0" distB="0" distL="0" distR="0" wp14:anchorId="3EAF9771" wp14:editId="71519640">
                <wp:extent cx="806450" cy="80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450" cy="806450"/>
                        </a:xfrm>
                        <a:prstGeom prst="rect">
                          <a:avLst/>
                        </a:prstGeom>
                        <a:noFill/>
                        <a:ln>
                          <a:noFill/>
                        </a:ln>
                      </pic:spPr>
                    </pic:pic>
                  </a:graphicData>
                </a:graphic>
              </wp:inline>
            </w:drawing>
          </w:r>
        </w:p>
      </w:tc>
      <w:tc>
        <w:tcPr>
          <w:tcW w:w="6446" w:type="dxa"/>
          <w:hideMark/>
        </w:tcPr>
        <w:p w14:paraId="07E4E4F0" w14:textId="77777777" w:rsidR="001A721B" w:rsidRPr="00C90895" w:rsidRDefault="001A721B" w:rsidP="001A721B">
          <w:pPr>
            <w:pStyle w:val="Header"/>
            <w:spacing w:line="276" w:lineRule="auto"/>
            <w:jc w:val="center"/>
            <w:rPr>
              <w:rFonts w:ascii="Times New Roman" w:hAnsi="Times New Roman" w:cs="Times New Roman"/>
              <w:b/>
              <w:bCs/>
              <w:noProof/>
              <w:sz w:val="24"/>
              <w:szCs w:val="24"/>
            </w:rPr>
          </w:pPr>
          <w:r w:rsidRPr="00C90895">
            <w:rPr>
              <w:rFonts w:ascii="Times New Roman" w:hAnsi="Times New Roman" w:cs="Times New Roman"/>
              <w:b/>
              <w:bCs/>
              <w:noProof/>
              <w:sz w:val="24"/>
              <w:szCs w:val="24"/>
            </w:rPr>
            <w:t>International Research Journal on Advanced Engineering and Management</w:t>
          </w:r>
        </w:p>
        <w:p w14:paraId="732F6FAD" w14:textId="77777777" w:rsidR="001A721B" w:rsidRPr="00C90895" w:rsidRDefault="00DD3075" w:rsidP="001A721B">
          <w:pPr>
            <w:pStyle w:val="Header"/>
            <w:spacing w:line="276" w:lineRule="auto"/>
            <w:jc w:val="center"/>
            <w:rPr>
              <w:rStyle w:val="Hyperlink"/>
              <w:rFonts w:ascii="Times New Roman" w:hAnsi="Times New Roman" w:cs="Times New Roman"/>
              <w:lang w:eastAsia="en-IN"/>
            </w:rPr>
          </w:pPr>
          <w:hyperlink r:id="rId2" w:history="1">
            <w:r w:rsidR="001A721B" w:rsidRPr="00C90895">
              <w:rPr>
                <w:rStyle w:val="Hyperlink"/>
                <w:rFonts w:ascii="Times New Roman" w:hAnsi="Times New Roman" w:cs="Times New Roman"/>
                <w:noProof/>
              </w:rPr>
              <w:t>https://goldncloudpublications.com</w:t>
            </w:r>
          </w:hyperlink>
        </w:p>
        <w:p w14:paraId="7DDC2B4B" w14:textId="40978919" w:rsidR="001A721B" w:rsidRPr="00C90895" w:rsidRDefault="001A721B" w:rsidP="001A721B">
          <w:pPr>
            <w:pStyle w:val="Header"/>
            <w:spacing w:line="276" w:lineRule="auto"/>
            <w:jc w:val="center"/>
            <w:rPr>
              <w:rFonts w:ascii="Times New Roman" w:hAnsi="Times New Roman" w:cs="Times New Roman"/>
              <w:sz w:val="24"/>
              <w:szCs w:val="24"/>
            </w:rPr>
          </w:pPr>
          <w:r w:rsidRPr="00C90895">
            <w:rPr>
              <w:rStyle w:val="Hyperlink"/>
              <w:rFonts w:ascii="Times New Roman" w:hAnsi="Times New Roman" w:cs="Times New Roman"/>
              <w:noProof/>
            </w:rPr>
            <w:t>https://d</w:t>
          </w:r>
          <w:r>
            <w:rPr>
              <w:rStyle w:val="Hyperlink"/>
              <w:rFonts w:ascii="Times New Roman" w:hAnsi="Times New Roman" w:cs="Times New Roman"/>
              <w:noProof/>
            </w:rPr>
            <w:t>oi.org/10.47392/IRJAEM.2024.0489</w:t>
          </w:r>
        </w:p>
      </w:tc>
      <w:tc>
        <w:tcPr>
          <w:tcW w:w="2357" w:type="dxa"/>
        </w:tcPr>
        <w:p w14:paraId="0275C85F" w14:textId="77777777" w:rsidR="001A721B" w:rsidRPr="00C90895" w:rsidRDefault="001A721B" w:rsidP="001A721B">
          <w:pPr>
            <w:pStyle w:val="Header"/>
            <w:jc w:val="both"/>
            <w:rPr>
              <w:rFonts w:ascii="Times New Roman" w:hAnsi="Times New Roman" w:cs="Times New Roman"/>
              <w:sz w:val="20"/>
              <w:szCs w:val="20"/>
            </w:rPr>
          </w:pPr>
          <w:r w:rsidRPr="00C90895">
            <w:rPr>
              <w:rFonts w:ascii="Times New Roman" w:hAnsi="Times New Roman" w:cs="Times New Roman"/>
              <w:sz w:val="20"/>
              <w:szCs w:val="20"/>
            </w:rPr>
            <w:t>e ISSN: 2584-2854</w:t>
          </w:r>
        </w:p>
        <w:p w14:paraId="7B949C2E" w14:textId="77777777" w:rsidR="001A721B" w:rsidRPr="00C90895" w:rsidRDefault="001A721B" w:rsidP="001A721B">
          <w:pPr>
            <w:pStyle w:val="Header"/>
            <w:jc w:val="both"/>
            <w:rPr>
              <w:rFonts w:ascii="Times New Roman" w:hAnsi="Times New Roman" w:cs="Times New Roman"/>
              <w:sz w:val="20"/>
              <w:szCs w:val="20"/>
            </w:rPr>
          </w:pPr>
          <w:r w:rsidRPr="00C90895">
            <w:rPr>
              <w:rFonts w:ascii="Times New Roman" w:hAnsi="Times New Roman" w:cs="Times New Roman"/>
              <w:noProof/>
              <w:sz w:val="20"/>
              <w:szCs w:val="20"/>
            </w:rPr>
            <w:t>Volume: 02</w:t>
          </w:r>
        </w:p>
        <w:p w14:paraId="0F388F58" w14:textId="77777777" w:rsidR="001A721B" w:rsidRPr="00C90895" w:rsidRDefault="001A721B" w:rsidP="001A721B">
          <w:pPr>
            <w:pStyle w:val="Header"/>
            <w:jc w:val="both"/>
            <w:rPr>
              <w:rFonts w:ascii="Times New Roman" w:hAnsi="Times New Roman" w:cs="Times New Roman"/>
              <w:noProof/>
              <w:sz w:val="20"/>
              <w:szCs w:val="20"/>
            </w:rPr>
          </w:pPr>
          <w:r w:rsidRPr="00C90895">
            <w:rPr>
              <w:rFonts w:ascii="Times New Roman" w:hAnsi="Times New Roman" w:cs="Times New Roman"/>
              <w:noProof/>
              <w:sz w:val="20"/>
              <w:szCs w:val="20"/>
            </w:rPr>
            <w:t>Issue: 1</w:t>
          </w:r>
          <w:r>
            <w:rPr>
              <w:rFonts w:ascii="Times New Roman" w:hAnsi="Times New Roman" w:cs="Times New Roman"/>
              <w:noProof/>
              <w:sz w:val="20"/>
              <w:szCs w:val="20"/>
            </w:rPr>
            <w:t>1</w:t>
          </w:r>
          <w:r w:rsidRPr="00C90895">
            <w:rPr>
              <w:rFonts w:ascii="Times New Roman" w:hAnsi="Times New Roman" w:cs="Times New Roman"/>
              <w:noProof/>
              <w:sz w:val="20"/>
              <w:szCs w:val="20"/>
            </w:rPr>
            <w:t xml:space="preserve"> </w:t>
          </w:r>
          <w:r>
            <w:rPr>
              <w:rFonts w:ascii="Times New Roman" w:hAnsi="Times New Roman" w:cs="Times New Roman"/>
              <w:noProof/>
              <w:sz w:val="20"/>
              <w:szCs w:val="20"/>
            </w:rPr>
            <w:t>November</w:t>
          </w:r>
          <w:r w:rsidRPr="00C90895">
            <w:rPr>
              <w:rFonts w:ascii="Times New Roman" w:hAnsi="Times New Roman" w:cs="Times New Roman"/>
              <w:noProof/>
              <w:sz w:val="20"/>
              <w:szCs w:val="20"/>
            </w:rPr>
            <w:t xml:space="preserve"> 2024</w:t>
          </w:r>
        </w:p>
        <w:p w14:paraId="07DFEC7A" w14:textId="3F810B6B" w:rsidR="001A721B" w:rsidRPr="00C90895" w:rsidRDefault="001A721B" w:rsidP="001A721B">
          <w:pPr>
            <w:pStyle w:val="Header"/>
            <w:jc w:val="both"/>
            <w:rPr>
              <w:rFonts w:ascii="Times New Roman" w:hAnsi="Times New Roman" w:cs="Times New Roman"/>
              <w:noProof/>
              <w:sz w:val="20"/>
              <w:szCs w:val="20"/>
            </w:rPr>
          </w:pPr>
          <w:r w:rsidRPr="00C90895">
            <w:rPr>
              <w:rFonts w:ascii="Times New Roman" w:hAnsi="Times New Roman" w:cs="Times New Roman"/>
              <w:noProof/>
              <w:sz w:val="20"/>
              <w:szCs w:val="20"/>
            </w:rPr>
            <w:t>Page No</w:t>
          </w:r>
          <w:r>
            <w:rPr>
              <w:rFonts w:ascii="Times New Roman" w:hAnsi="Times New Roman" w:cs="Times New Roman"/>
              <w:noProof/>
              <w:sz w:val="20"/>
              <w:szCs w:val="20"/>
            </w:rPr>
            <w:t>: 33</w:t>
          </w:r>
          <w:r w:rsidR="005F0958">
            <w:rPr>
              <w:rFonts w:ascii="Times New Roman" w:hAnsi="Times New Roman" w:cs="Times New Roman"/>
              <w:noProof/>
              <w:sz w:val="20"/>
              <w:szCs w:val="20"/>
            </w:rPr>
            <w:t>12</w:t>
          </w:r>
          <w:r>
            <w:rPr>
              <w:rFonts w:ascii="Times New Roman" w:hAnsi="Times New Roman" w:cs="Times New Roman"/>
              <w:noProof/>
              <w:sz w:val="20"/>
              <w:szCs w:val="20"/>
            </w:rPr>
            <w:t>-331</w:t>
          </w:r>
          <w:r w:rsidR="005F0958">
            <w:rPr>
              <w:rFonts w:ascii="Times New Roman" w:hAnsi="Times New Roman" w:cs="Times New Roman"/>
              <w:noProof/>
              <w:sz w:val="20"/>
              <w:szCs w:val="20"/>
            </w:rPr>
            <w:t>5</w:t>
          </w:r>
        </w:p>
        <w:p w14:paraId="347FBF11" w14:textId="77777777" w:rsidR="001A721B" w:rsidRPr="00C90895" w:rsidRDefault="001A721B" w:rsidP="001A721B">
          <w:pPr>
            <w:pStyle w:val="Header"/>
            <w:jc w:val="both"/>
            <w:rPr>
              <w:rFonts w:ascii="Times New Roman" w:hAnsi="Times New Roman" w:cs="Times New Roman"/>
              <w:noProof/>
              <w:kern w:val="2"/>
              <w:sz w:val="20"/>
              <w:szCs w:val="20"/>
              <w14:ligatures w14:val="standardContextual"/>
            </w:rPr>
          </w:pPr>
        </w:p>
      </w:tc>
    </w:tr>
  </w:tbl>
  <w:p w14:paraId="795DCFFB" w14:textId="77777777" w:rsidR="008B0879" w:rsidRDefault="008B0879">
    <w:pPr>
      <w:pBdr>
        <w:top w:val="nil"/>
        <w:left w:val="nil"/>
        <w:bottom w:val="nil"/>
        <w:right w:val="nil"/>
        <w:between w:val="nil"/>
      </w:pBdr>
      <w:tabs>
        <w:tab w:val="center" w:pos="4513"/>
        <w:tab w:val="right" w:pos="9026"/>
        <w:tab w:val="left" w:pos="390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A562D"/>
    <w:multiLevelType w:val="multilevel"/>
    <w:tmpl w:val="12FA44C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AAB0FC7"/>
    <w:multiLevelType w:val="hybridMultilevel"/>
    <w:tmpl w:val="FD12252A"/>
    <w:lvl w:ilvl="0" w:tplc="4438880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742205"/>
    <w:multiLevelType w:val="multilevel"/>
    <w:tmpl w:val="33687048"/>
    <w:lvl w:ilvl="0">
      <w:start w:val="1"/>
      <w:numFmt w:val="decimal"/>
      <w:lvlText w:val="%1."/>
      <w:lvlJc w:val="left"/>
      <w:pPr>
        <w:ind w:left="720" w:hanging="360"/>
      </w:pPr>
      <w:rPr>
        <w:rFonts w:ascii="Times New Roman" w:eastAsia="Times New Roman" w:hAnsi="Times New Roman" w:cs="Times New Roman" w:hint="default"/>
        <w:b/>
        <w:i w:val="0"/>
        <w:sz w:val="24"/>
        <w:szCs w:val="24"/>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3" w15:restartNumberingAfterBreak="0">
    <w:nsid w:val="3F753959"/>
    <w:multiLevelType w:val="multilevel"/>
    <w:tmpl w:val="00E2389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2A460B"/>
    <w:multiLevelType w:val="multilevel"/>
    <w:tmpl w:val="BA42EF80"/>
    <w:lvl w:ilvl="0">
      <w:start w:val="1"/>
      <w:numFmt w:val="decimal"/>
      <w:lvlText w:val="%1."/>
      <w:lvlJc w:val="left"/>
      <w:pPr>
        <w:ind w:left="720" w:hanging="360"/>
      </w:pPr>
      <w:rPr>
        <w:rFonts w:ascii="Times New Roman" w:eastAsia="Times New Roman" w:hAnsi="Times New Roman" w:cs="Times New Roman"/>
        <w:b/>
        <w:i w:val="0"/>
        <w:sz w:val="24"/>
        <w:szCs w:val="24"/>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5" w15:restartNumberingAfterBreak="0">
    <w:nsid w:val="4CAA599B"/>
    <w:multiLevelType w:val="multilevel"/>
    <w:tmpl w:val="9C96B8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24C46D3"/>
    <w:multiLevelType w:val="multilevel"/>
    <w:tmpl w:val="33687048"/>
    <w:lvl w:ilvl="0">
      <w:start w:val="1"/>
      <w:numFmt w:val="decimal"/>
      <w:lvlText w:val="%1."/>
      <w:lvlJc w:val="left"/>
      <w:pPr>
        <w:ind w:left="720" w:hanging="360"/>
      </w:pPr>
      <w:rPr>
        <w:rFonts w:ascii="Times New Roman" w:eastAsia="Times New Roman" w:hAnsi="Times New Roman" w:cs="Times New Roman" w:hint="default"/>
        <w:b/>
        <w:i w:val="0"/>
        <w:sz w:val="24"/>
        <w:szCs w:val="24"/>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7" w15:restartNumberingAfterBreak="0">
    <w:nsid w:val="6E0E66D7"/>
    <w:multiLevelType w:val="multilevel"/>
    <w:tmpl w:val="3426F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7"/>
  </w:num>
  <w:num w:numId="3">
    <w:abstractNumId w:val="2"/>
  </w:num>
  <w:num w:numId="4">
    <w:abstractNumId w:val="3"/>
  </w:num>
  <w:num w:numId="5">
    <w:abstractNumId w:val="0"/>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879"/>
    <w:rsid w:val="000F4DF6"/>
    <w:rsid w:val="00162E1D"/>
    <w:rsid w:val="001A721B"/>
    <w:rsid w:val="00333632"/>
    <w:rsid w:val="00410A0F"/>
    <w:rsid w:val="00451644"/>
    <w:rsid w:val="005D5256"/>
    <w:rsid w:val="005E2474"/>
    <w:rsid w:val="005F0958"/>
    <w:rsid w:val="00731893"/>
    <w:rsid w:val="008B0879"/>
    <w:rsid w:val="00913E57"/>
    <w:rsid w:val="009779C8"/>
    <w:rsid w:val="009C5888"/>
    <w:rsid w:val="009F73E3"/>
    <w:rsid w:val="00B14257"/>
    <w:rsid w:val="00B670B1"/>
    <w:rsid w:val="00D734D7"/>
    <w:rsid w:val="00DD3075"/>
    <w:rsid w:val="00F711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53824"/>
  <w15:docId w15:val="{0CE7255A-B657-4062-AA58-87832234F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IN"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106"/>
      <w:ind w:left="391"/>
      <w:outlineLvl w:val="0"/>
    </w:pPr>
    <w:rPr>
      <w:b/>
      <w:sz w:val="24"/>
      <w:szCs w:val="24"/>
    </w:rPr>
  </w:style>
  <w:style w:type="paragraph" w:styleId="Heading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pPr>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widowControl/>
    </w:pPr>
    <w:tblPr>
      <w:tblStyleRowBandSize w:val="1"/>
      <w:tblStyleColBandSize w:val="1"/>
    </w:tblPr>
  </w:style>
  <w:style w:type="table" w:customStyle="1" w:styleId="a1">
    <w:basedOn w:val="TableNormal"/>
    <w:tblPr>
      <w:tblStyleRowBandSize w:val="1"/>
      <w:tblStyleColBandSize w:val="1"/>
      <w:tblCellMar>
        <w:top w:w="144" w:type="dxa"/>
        <w:left w:w="115" w:type="dxa"/>
        <w:bottom w:w="144" w:type="dxa"/>
        <w:right w:w="115" w:type="dxa"/>
      </w:tblCellMar>
    </w:tblPr>
  </w:style>
  <w:style w:type="paragraph" w:styleId="Footer">
    <w:name w:val="footer"/>
    <w:basedOn w:val="Normal"/>
    <w:link w:val="FooterChar"/>
    <w:uiPriority w:val="99"/>
    <w:unhideWhenUsed/>
    <w:rsid w:val="00451644"/>
    <w:pPr>
      <w:tabs>
        <w:tab w:val="center" w:pos="4513"/>
        <w:tab w:val="right" w:pos="9026"/>
      </w:tabs>
    </w:pPr>
  </w:style>
  <w:style w:type="character" w:customStyle="1" w:styleId="FooterChar">
    <w:name w:val="Footer Char"/>
    <w:basedOn w:val="DefaultParagraphFont"/>
    <w:link w:val="Footer"/>
    <w:uiPriority w:val="99"/>
    <w:rsid w:val="00451644"/>
  </w:style>
  <w:style w:type="paragraph" w:styleId="Header">
    <w:name w:val="header"/>
    <w:basedOn w:val="Normal"/>
    <w:link w:val="HeaderChar"/>
    <w:uiPriority w:val="99"/>
    <w:unhideWhenUsed/>
    <w:qFormat/>
    <w:rsid w:val="00451644"/>
    <w:pPr>
      <w:tabs>
        <w:tab w:val="center" w:pos="4513"/>
        <w:tab w:val="right" w:pos="9026"/>
      </w:tabs>
    </w:pPr>
  </w:style>
  <w:style w:type="character" w:customStyle="1" w:styleId="HeaderChar">
    <w:name w:val="Header Char"/>
    <w:basedOn w:val="DefaultParagraphFont"/>
    <w:link w:val="Header"/>
    <w:uiPriority w:val="99"/>
    <w:qFormat/>
    <w:rsid w:val="00451644"/>
  </w:style>
  <w:style w:type="paragraph" w:styleId="ListParagraph">
    <w:name w:val="List Paragraph"/>
    <w:basedOn w:val="Normal"/>
    <w:uiPriority w:val="34"/>
    <w:qFormat/>
    <w:rsid w:val="00410A0F"/>
    <w:pPr>
      <w:ind w:left="720"/>
      <w:contextualSpacing/>
    </w:pPr>
  </w:style>
  <w:style w:type="paragraph" w:styleId="NormalWeb">
    <w:name w:val="Normal (Web)"/>
    <w:basedOn w:val="Normal"/>
    <w:uiPriority w:val="99"/>
    <w:semiHidden/>
    <w:unhideWhenUsed/>
    <w:rsid w:val="000F4DF6"/>
    <w:pPr>
      <w:widowControl/>
      <w:spacing w:before="100" w:beforeAutospacing="1" w:after="100" w:afterAutospacing="1"/>
    </w:pPr>
    <w:rPr>
      <w:sz w:val="24"/>
      <w:szCs w:val="24"/>
      <w:lang w:eastAsia="en-US"/>
    </w:rPr>
  </w:style>
  <w:style w:type="character" w:styleId="Strong">
    <w:name w:val="Strong"/>
    <w:basedOn w:val="DefaultParagraphFont"/>
    <w:uiPriority w:val="22"/>
    <w:qFormat/>
    <w:rsid w:val="000F4DF6"/>
    <w:rPr>
      <w:b/>
      <w:bCs/>
    </w:rPr>
  </w:style>
  <w:style w:type="table" w:styleId="TableGrid">
    <w:name w:val="Table Grid"/>
    <w:basedOn w:val="TableNormal"/>
    <w:uiPriority w:val="39"/>
    <w:qFormat/>
    <w:rsid w:val="001A721B"/>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721B"/>
    <w:rPr>
      <w:color w:val="0000FF"/>
      <w:u w:val="single"/>
    </w:rPr>
  </w:style>
  <w:style w:type="character" w:styleId="UnresolvedMention">
    <w:name w:val="Unresolved Mention"/>
    <w:basedOn w:val="DefaultParagraphFont"/>
    <w:uiPriority w:val="99"/>
    <w:semiHidden/>
    <w:unhideWhenUsed/>
    <w:rsid w:val="001A7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larojohnregan@gmail.com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qLyEA0LEWL5sf6FqCwpYpy/fZA==">CgMxLjAyCWlkLmdqZGd4czgAciExemNUaTBqcnhfTmxFQmlOODdDaFlnWS1SMHJQN3Blc1Y=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1950</Words>
  <Characters>11119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D M I N</dc:creator>
  <cp:lastModifiedBy>A D M I N</cp:lastModifiedBy>
  <cp:revision>7</cp:revision>
  <dcterms:created xsi:type="dcterms:W3CDTF">2024-11-22T04:46:00Z</dcterms:created>
  <dcterms:modified xsi:type="dcterms:W3CDTF">2024-11-23T04:43:00Z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2023-11-14T00:00:00Z</vt:lpwstr>
  </property>
  <property fmtid="{D5CDD505-2E9C-101B-9397-08002B2CF9AE}" pid="3" name="GrammarlyDocumentId">
    <vt:lpwstr>03cf057d061a290ceabadc87d1a03e9f35467539e59f308fa97b74c9be67c30f</vt:lpwstr>
  </property>
  <property fmtid="{D5CDD505-2E9C-101B-9397-08002B2CF9AE}" pid="4" name="Creator">
    <vt:lpwstr>LaTeX with hyperref package</vt:lpwstr>
  </property>
  <property fmtid="{D5CDD505-2E9C-101B-9397-08002B2CF9AE}" pid="5" name="Created">
    <vt:lpwstr>2023-11-14T00:00:00Z</vt:lpwstr>
  </property>
  <property fmtid="{D5CDD505-2E9C-101B-9397-08002B2CF9AE}" pid="6" name="MSIP_Label_defa4170-0d19-0005-0004-bc88714345d2_Enabled">
    <vt:lpwstr>true</vt:lpwstr>
  </property>
  <property fmtid="{D5CDD505-2E9C-101B-9397-08002B2CF9AE}" pid="7" name="MSIP_Label_defa4170-0d19-0005-0004-bc88714345d2_SetDate">
    <vt:lpwstr>2024-02-27T05:54:35Z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c778e571-5114-49bf-a4e7-8a47a5f09d20</vt:lpwstr>
  </property>
  <property fmtid="{D5CDD505-2E9C-101B-9397-08002B2CF9AE}" pid="11" name="MSIP_Label_defa4170-0d19-0005-0004-bc88714345d2_ActionId">
    <vt:lpwstr>6e58dd67-4901-45a4-8a85-f29eab8e9d38</vt:lpwstr>
  </property>
  <property fmtid="{D5CDD505-2E9C-101B-9397-08002B2CF9AE}" pid="12" name="MSIP_Label_defa4170-0d19-0005-0004-bc88714345d2_ContentBits">
    <vt:lpwstr>0</vt:lpwstr>
  </property>
</Properties>
</file>